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98741">
      <w:pPr>
        <w:rPr>
          <w:rFonts w:hint="default"/>
          <w:color w:val="C00000"/>
          <w:sz w:val="28"/>
          <w:szCs w:val="28"/>
          <w:lang w:val="en-US" w:eastAsia="zh-CN"/>
        </w:rPr>
      </w:pPr>
    </w:p>
    <w:p w14:paraId="5F033FD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r>
        <w:rPr>
          <w:rFonts w:hint="eastAsia"/>
          <w:b/>
          <w:sz w:val="32"/>
          <w:szCs w:val="32"/>
          <w:u w:val="single"/>
          <w:lang w:val="en-US" w:eastAsia="zh-Hans"/>
        </w:rPr>
        <w:t>一次性使用胸腔闭式引流瓶</w:t>
      </w:r>
    </w:p>
    <w:p w14:paraId="0E2F9AE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r>
        <w:rPr>
          <w:rFonts w:hint="eastAsia"/>
          <w:b/>
          <w:sz w:val="32"/>
          <w:szCs w:val="32"/>
        </w:rPr>
        <w:t>参数技术要求</w:t>
      </w:r>
    </w:p>
    <w:tbl>
      <w:tblPr>
        <w:tblStyle w:val="4"/>
        <w:tblpPr w:leftFromText="180" w:rightFromText="180" w:vertAnchor="text" w:tblpX="1" w:tblpY="324"/>
        <w:tblOverlap w:val="never"/>
        <w:tblW w:w="98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5F9D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541" w:type="dxa"/>
            <w:noWrap w:val="0"/>
            <w:vAlign w:val="center"/>
          </w:tcPr>
          <w:p w14:paraId="081AA35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20DA3B37">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6755A79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00EBE0B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5F38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541" w:type="dxa"/>
            <w:noWrap w:val="0"/>
            <w:vAlign w:val="center"/>
          </w:tcPr>
          <w:p w14:paraId="2D84167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727373BE">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结构性能：由积液腔和水封腔组成，配有引流管 (头)、防倒吸阀、旋转支架、吊钩等部件</w:t>
            </w:r>
          </w:p>
        </w:tc>
        <w:tc>
          <w:tcPr>
            <w:tcW w:w="1764" w:type="dxa"/>
            <w:noWrap w:val="0"/>
            <w:vAlign w:val="center"/>
          </w:tcPr>
          <w:p w14:paraId="0BD1126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98BBF7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2A1E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541" w:type="dxa"/>
            <w:noWrap w:val="0"/>
            <w:vAlign w:val="center"/>
          </w:tcPr>
          <w:p w14:paraId="66D5513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4245D43C">
            <w:pPr>
              <w:keepNext w:val="0"/>
              <w:keepLines w:val="0"/>
              <w:pageBreakBefore w:val="0"/>
              <w:widowControl w:val="0"/>
              <w:kinsoku/>
              <w:wordWrap/>
              <w:overflowPunct/>
              <w:topLinePunct w:val="0"/>
              <w:autoSpaceDE/>
              <w:bidi w:val="0"/>
              <w:adjustRightInd/>
              <w:snapToGrid/>
              <w:spacing w:line="240" w:lineRule="exact"/>
              <w:jc w:val="both"/>
              <w:textAlignment w:val="auto"/>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主要适用于各种原因引起的气胸、胸腔积液及手术 后的胸腔闭式引流</w:t>
            </w:r>
          </w:p>
        </w:tc>
        <w:tc>
          <w:tcPr>
            <w:tcW w:w="1764" w:type="dxa"/>
            <w:noWrap w:val="0"/>
            <w:vAlign w:val="center"/>
          </w:tcPr>
          <w:p w14:paraId="13B0AB2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4F7057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1E41C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541" w:type="dxa"/>
            <w:noWrap w:val="0"/>
            <w:vAlign w:val="center"/>
          </w:tcPr>
          <w:p w14:paraId="565B5B1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56047A9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次性使用引流瓶为单瓶，引流瓶由瓶体、吸引连接管、悬挂装置、加液口/排气孔、引流连接管组成，容量为1600ml</w:t>
            </w:r>
          </w:p>
        </w:tc>
        <w:tc>
          <w:tcPr>
            <w:tcW w:w="1764" w:type="dxa"/>
            <w:noWrap w:val="0"/>
            <w:vAlign w:val="center"/>
          </w:tcPr>
          <w:p w14:paraId="198353B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350471C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1133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541" w:type="dxa"/>
            <w:noWrap w:val="0"/>
            <w:vAlign w:val="center"/>
          </w:tcPr>
          <w:p w14:paraId="684FF23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1AFCC74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654318B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引流瓶的引流连接管、吸引连接管和瓶体采用软聚氯乙烯塑料制成，瓶盖、悬挂装置和加液口/排气孔应采用聚丙烯专用料制成。</w:t>
            </w:r>
          </w:p>
        </w:tc>
        <w:tc>
          <w:tcPr>
            <w:tcW w:w="1764" w:type="dxa"/>
            <w:noWrap w:val="0"/>
            <w:vAlign w:val="center"/>
          </w:tcPr>
          <w:p w14:paraId="7E6D7FE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4A9BD0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6FE7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541" w:type="dxa"/>
            <w:noWrap w:val="0"/>
            <w:vAlign w:val="center"/>
          </w:tcPr>
          <w:p w14:paraId="3FDED81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5</w:t>
            </w:r>
          </w:p>
        </w:tc>
        <w:tc>
          <w:tcPr>
            <w:tcW w:w="6750" w:type="dxa"/>
            <w:noWrap w:val="0"/>
            <w:vAlign w:val="center"/>
          </w:tcPr>
          <w:p w14:paraId="1A355D4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b/>
                <w:bCs/>
                <w:color w:val="auto"/>
                <w:sz w:val="24"/>
                <w:szCs w:val="24"/>
                <w:lang w:val="en-US" w:eastAsia="zh-CN"/>
              </w:rPr>
            </w:pPr>
            <w:r>
              <w:rPr>
                <w:rFonts w:hint="default" w:ascii="仿宋" w:hAnsi="仿宋" w:eastAsia="仿宋" w:cs="仿宋"/>
                <w:b w:val="0"/>
                <w:bCs w:val="0"/>
                <w:color w:val="auto"/>
                <w:sz w:val="24"/>
                <w:szCs w:val="24"/>
                <w:lang w:val="en-US" w:eastAsia="zh-CN"/>
              </w:rPr>
              <w:t>由积液腔和水封腔组成，配有引流管 (头)、防倒吸阀、旋转支架、吊钩等部件。积液腔 公称容量为1300毫升</w:t>
            </w:r>
          </w:p>
        </w:tc>
        <w:tc>
          <w:tcPr>
            <w:tcW w:w="1764" w:type="dxa"/>
            <w:noWrap w:val="0"/>
            <w:vAlign w:val="center"/>
          </w:tcPr>
          <w:p w14:paraId="680D213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5961FF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396D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541" w:type="dxa"/>
            <w:noWrap w:val="0"/>
            <w:vAlign w:val="center"/>
          </w:tcPr>
          <w:p w14:paraId="7FCE1ED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6</w:t>
            </w:r>
          </w:p>
        </w:tc>
        <w:tc>
          <w:tcPr>
            <w:tcW w:w="6750" w:type="dxa"/>
            <w:noWrap w:val="0"/>
            <w:vAlign w:val="center"/>
          </w:tcPr>
          <w:p w14:paraId="33C0501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bCs/>
                <w:color w:val="auto"/>
                <w:kern w:val="2"/>
                <w:sz w:val="24"/>
                <w:szCs w:val="24"/>
                <w:lang w:val="en-US" w:eastAsia="zh-Hans" w:bidi="ar-SA"/>
              </w:rPr>
            </w:pPr>
            <w:r>
              <w:rPr>
                <w:rFonts w:hint="default" w:ascii="仿宋" w:hAnsi="仿宋" w:eastAsia="仿宋" w:cs="仿宋"/>
                <w:b w:val="0"/>
                <w:bCs w:val="0"/>
                <w:color w:val="auto"/>
                <w:sz w:val="24"/>
                <w:szCs w:val="24"/>
                <w:lang w:val="en-US" w:eastAsia="zh-CN"/>
              </w:rPr>
              <w:t>产品应无菌</w:t>
            </w:r>
          </w:p>
        </w:tc>
        <w:tc>
          <w:tcPr>
            <w:tcW w:w="1764" w:type="dxa"/>
            <w:noWrap w:val="0"/>
            <w:vAlign w:val="center"/>
          </w:tcPr>
          <w:p w14:paraId="50EDBB3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092CE1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0DC2A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541" w:type="dxa"/>
            <w:noWrap w:val="0"/>
            <w:vAlign w:val="center"/>
          </w:tcPr>
          <w:p w14:paraId="1278F78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7</w:t>
            </w:r>
          </w:p>
        </w:tc>
        <w:tc>
          <w:tcPr>
            <w:tcW w:w="6750" w:type="dxa"/>
            <w:noWrap w:val="0"/>
            <w:vAlign w:val="center"/>
          </w:tcPr>
          <w:p w14:paraId="047F6D8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val="0"/>
                <w:bCs w:val="0"/>
                <w:color w:val="auto"/>
                <w:sz w:val="24"/>
                <w:szCs w:val="24"/>
                <w:lang w:val="en-US" w:eastAsia="zh-Hans"/>
              </w:rPr>
            </w:pPr>
            <w:r>
              <w:rPr>
                <w:rFonts w:hint="eastAsia" w:ascii="仿宋" w:hAnsi="仿宋" w:eastAsia="仿宋" w:cs="仿宋"/>
                <w:b w:val="0"/>
                <w:bCs w:val="0"/>
                <w:color w:val="auto"/>
                <w:sz w:val="24"/>
                <w:szCs w:val="24"/>
                <w:lang w:val="en-US" w:eastAsia="zh-Hans"/>
              </w:rPr>
              <w:t>产品有效期：</w:t>
            </w:r>
            <w:r>
              <w:rPr>
                <w:rFonts w:hint="default" w:ascii="仿宋" w:hAnsi="仿宋" w:eastAsia="仿宋" w:cs="仿宋"/>
                <w:b w:val="0"/>
                <w:bCs w:val="0"/>
                <w:color w:val="auto"/>
                <w:sz w:val="24"/>
                <w:szCs w:val="24"/>
                <w:lang w:eastAsia="zh-Hans"/>
              </w:rPr>
              <w:t>2</w:t>
            </w:r>
            <w:r>
              <w:rPr>
                <w:rFonts w:hint="eastAsia" w:ascii="仿宋" w:hAnsi="仿宋" w:eastAsia="仿宋" w:cs="仿宋"/>
                <w:b w:val="0"/>
                <w:bCs w:val="0"/>
                <w:color w:val="auto"/>
                <w:sz w:val="24"/>
                <w:szCs w:val="24"/>
                <w:lang w:val="en-US" w:eastAsia="zh-Hans"/>
              </w:rPr>
              <w:t>年</w:t>
            </w:r>
          </w:p>
        </w:tc>
        <w:tc>
          <w:tcPr>
            <w:tcW w:w="1764" w:type="dxa"/>
            <w:noWrap w:val="0"/>
            <w:vAlign w:val="center"/>
          </w:tcPr>
          <w:p w14:paraId="784A2A7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52A0E6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7BF3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541" w:type="dxa"/>
            <w:noWrap w:val="0"/>
            <w:vAlign w:val="center"/>
          </w:tcPr>
          <w:p w14:paraId="30A1AF1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8</w:t>
            </w:r>
          </w:p>
        </w:tc>
        <w:tc>
          <w:tcPr>
            <w:tcW w:w="6750" w:type="dxa"/>
            <w:noWrap w:val="0"/>
            <w:vAlign w:val="center"/>
          </w:tcPr>
          <w:p w14:paraId="2106092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kern w:val="2"/>
                <w:sz w:val="24"/>
                <w:szCs w:val="24"/>
                <w:lang w:val="en-US" w:eastAsia="zh-Hans" w:bidi="ar-SA"/>
              </w:rPr>
            </w:pPr>
            <w:r>
              <w:rPr>
                <w:rFonts w:hint="eastAsia" w:ascii="仿宋" w:hAnsi="仿宋" w:eastAsia="仿宋" w:cs="仿宋"/>
                <w:color w:val="auto"/>
                <w:kern w:val="2"/>
                <w:sz w:val="24"/>
                <w:szCs w:val="24"/>
                <w:lang w:val="en-US" w:eastAsia="zh-Hans" w:bidi="ar-SA"/>
              </w:rPr>
              <w:t>带样品</w:t>
            </w:r>
          </w:p>
        </w:tc>
        <w:tc>
          <w:tcPr>
            <w:tcW w:w="1764" w:type="dxa"/>
            <w:noWrap w:val="0"/>
            <w:vAlign w:val="center"/>
          </w:tcPr>
          <w:p w14:paraId="30868B1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D8F07E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1665422B">
      <w:pPr>
        <w:keepNext w:val="0"/>
        <w:keepLines w:val="0"/>
        <w:pageBreakBefore w:val="0"/>
        <w:widowControl w:val="0"/>
        <w:kinsoku/>
        <w:wordWrap/>
        <w:overflowPunct/>
        <w:topLinePunct w:val="0"/>
        <w:autoSpaceDE/>
        <w:autoSpaceDN/>
        <w:bidi w:val="0"/>
        <w:adjustRightInd/>
        <w:snapToGrid/>
        <w:spacing w:line="240" w:lineRule="exact"/>
        <w:textAlignment w:val="auto"/>
      </w:pPr>
    </w:p>
    <w:p w14:paraId="2C816118">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7A5DFA17">
      <w:pPr>
        <w:rPr>
          <w:rFonts w:hint="default"/>
          <w:color w:val="C00000"/>
          <w:sz w:val="28"/>
          <w:szCs w:val="28"/>
          <w:lang w:val="en-US" w:eastAsia="zh-CN"/>
        </w:rPr>
      </w:pPr>
    </w:p>
    <w:p w14:paraId="771199E1">
      <w:pPr>
        <w:rPr>
          <w:rFonts w:hint="default"/>
          <w:color w:val="C00000"/>
          <w:sz w:val="28"/>
          <w:szCs w:val="28"/>
          <w:lang w:val="en-US" w:eastAsia="zh-CN"/>
        </w:rPr>
      </w:pPr>
    </w:p>
    <w:p w14:paraId="03FC1555">
      <w:pPr>
        <w:rPr>
          <w:rFonts w:hint="default"/>
          <w:color w:val="C00000"/>
          <w:sz w:val="28"/>
          <w:szCs w:val="28"/>
          <w:lang w:val="en-US" w:eastAsia="zh-CN"/>
        </w:rPr>
      </w:pPr>
    </w:p>
    <w:p w14:paraId="7796F2E1">
      <w:pPr>
        <w:rPr>
          <w:rFonts w:hint="default"/>
          <w:color w:val="C00000"/>
          <w:sz w:val="28"/>
          <w:szCs w:val="28"/>
          <w:lang w:val="en-US" w:eastAsia="zh-CN"/>
        </w:rPr>
      </w:pPr>
    </w:p>
    <w:p w14:paraId="64788B61">
      <w:pPr>
        <w:rPr>
          <w:rFonts w:hint="default"/>
          <w:color w:val="C00000"/>
          <w:sz w:val="28"/>
          <w:szCs w:val="28"/>
          <w:lang w:val="en-US" w:eastAsia="zh-CN"/>
        </w:rPr>
      </w:pPr>
    </w:p>
    <w:p w14:paraId="48938AD8">
      <w:pPr>
        <w:rPr>
          <w:rFonts w:hint="default"/>
          <w:color w:val="C00000"/>
          <w:sz w:val="28"/>
          <w:szCs w:val="28"/>
          <w:lang w:val="en-US" w:eastAsia="zh-CN"/>
        </w:rPr>
      </w:pPr>
    </w:p>
    <w:p w14:paraId="6B614C59">
      <w:pPr>
        <w:rPr>
          <w:rFonts w:hint="default"/>
          <w:color w:val="C00000"/>
          <w:sz w:val="28"/>
          <w:szCs w:val="28"/>
          <w:lang w:val="en-US" w:eastAsia="zh-CN"/>
        </w:rPr>
      </w:pPr>
    </w:p>
    <w:p w14:paraId="7D7E57C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r>
        <w:rPr>
          <w:rFonts w:hint="eastAsia"/>
          <w:b/>
          <w:sz w:val="32"/>
          <w:szCs w:val="32"/>
          <w:u w:val="single"/>
          <w:lang w:val="en-US" w:eastAsia="zh-Hans"/>
        </w:rPr>
        <w:t>一次性无菌输液接头</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031A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43BEAE4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42480511">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6ACD40C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34C1346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3DFC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5E8325B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011EAA38">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本产品临床用于静脉输液治疗时接头封闭及接头封闭期间通过注射窗口进行补液，保护输液系统免受感染。</w:t>
            </w:r>
          </w:p>
          <w:p w14:paraId="70397187">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default" w:ascii="仿宋" w:hAnsi="仿宋" w:eastAsia="仿宋" w:cs="仿宋"/>
                <w:color w:val="auto"/>
                <w:sz w:val="24"/>
                <w:szCs w:val="24"/>
                <w:lang w:val="en-US" w:eastAsia="zh-CN"/>
              </w:rPr>
            </w:pPr>
          </w:p>
        </w:tc>
        <w:tc>
          <w:tcPr>
            <w:tcW w:w="1764" w:type="dxa"/>
            <w:noWrap w:val="0"/>
            <w:vAlign w:val="center"/>
          </w:tcPr>
          <w:p w14:paraId="257F7FB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048BA23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1EF0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4F48737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0D779679">
            <w:pPr>
              <w:keepNext w:val="0"/>
              <w:keepLines w:val="0"/>
              <w:pageBreakBefore w:val="0"/>
              <w:widowControl w:val="0"/>
              <w:kinsoku/>
              <w:wordWrap/>
              <w:overflowPunct/>
              <w:topLinePunct w:val="0"/>
              <w:autoSpaceDE/>
              <w:bidi w:val="0"/>
              <w:adjustRightInd/>
              <w:snapToGrid/>
              <w:spacing w:line="240" w:lineRule="exact"/>
              <w:jc w:val="both"/>
              <w:textAlignment w:val="auto"/>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正压型带有正压系统，避免血液倒流进入管内造成堵塞。</w:t>
            </w:r>
          </w:p>
        </w:tc>
        <w:tc>
          <w:tcPr>
            <w:tcW w:w="1764" w:type="dxa"/>
            <w:noWrap w:val="0"/>
            <w:vAlign w:val="center"/>
          </w:tcPr>
          <w:p w14:paraId="1AE9EB4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641485D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129B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541" w:type="dxa"/>
            <w:noWrap w:val="0"/>
            <w:vAlign w:val="center"/>
          </w:tcPr>
          <w:p w14:paraId="2A59FA6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211BFBC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产品材质安全，保证患者输液安全</w:t>
            </w:r>
          </w:p>
        </w:tc>
        <w:tc>
          <w:tcPr>
            <w:tcW w:w="1764" w:type="dxa"/>
            <w:noWrap w:val="0"/>
            <w:vAlign w:val="center"/>
          </w:tcPr>
          <w:p w14:paraId="1773CA5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F72240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3D4A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541" w:type="dxa"/>
            <w:noWrap w:val="0"/>
            <w:vAlign w:val="center"/>
          </w:tcPr>
          <w:p w14:paraId="787B44F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13582C7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70566C4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产品经环氧乙烷灭菌，无菌无热源</w:t>
            </w:r>
          </w:p>
        </w:tc>
        <w:tc>
          <w:tcPr>
            <w:tcW w:w="1764" w:type="dxa"/>
            <w:noWrap w:val="0"/>
            <w:vAlign w:val="center"/>
          </w:tcPr>
          <w:p w14:paraId="42E7DC3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6D62E5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59A6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541" w:type="dxa"/>
            <w:noWrap w:val="0"/>
            <w:vAlign w:val="center"/>
          </w:tcPr>
          <w:p w14:paraId="79BB5C2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5</w:t>
            </w:r>
          </w:p>
        </w:tc>
        <w:tc>
          <w:tcPr>
            <w:tcW w:w="6750" w:type="dxa"/>
            <w:noWrap w:val="0"/>
            <w:vAlign w:val="center"/>
          </w:tcPr>
          <w:p w14:paraId="37BD652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bCs/>
                <w:color w:val="auto"/>
                <w:sz w:val="24"/>
                <w:szCs w:val="24"/>
                <w:lang w:val="en-US" w:eastAsia="zh-Hans"/>
              </w:rPr>
            </w:pPr>
            <w:r>
              <w:rPr>
                <w:rFonts w:hint="eastAsia" w:ascii="仿宋" w:hAnsi="仿宋" w:eastAsia="仿宋" w:cs="仿宋"/>
                <w:b w:val="0"/>
                <w:bCs w:val="0"/>
                <w:color w:val="auto"/>
                <w:sz w:val="24"/>
                <w:szCs w:val="24"/>
                <w:lang w:val="en-US" w:eastAsia="zh-Hans"/>
              </w:rPr>
              <w:t>产品有效期</w:t>
            </w:r>
            <w:r>
              <w:rPr>
                <w:rFonts w:hint="default" w:ascii="仿宋" w:hAnsi="仿宋" w:eastAsia="仿宋" w:cs="仿宋"/>
                <w:b w:val="0"/>
                <w:bCs w:val="0"/>
                <w:color w:val="auto"/>
                <w:sz w:val="24"/>
                <w:szCs w:val="24"/>
                <w:lang w:eastAsia="zh-Hans"/>
              </w:rPr>
              <w:t>3</w:t>
            </w:r>
            <w:r>
              <w:rPr>
                <w:rFonts w:hint="eastAsia" w:ascii="仿宋" w:hAnsi="仿宋" w:eastAsia="仿宋" w:cs="仿宋"/>
                <w:b w:val="0"/>
                <w:bCs w:val="0"/>
                <w:color w:val="auto"/>
                <w:sz w:val="24"/>
                <w:szCs w:val="24"/>
                <w:lang w:val="en-US" w:eastAsia="zh-Hans"/>
              </w:rPr>
              <w:t>年</w:t>
            </w:r>
          </w:p>
        </w:tc>
        <w:tc>
          <w:tcPr>
            <w:tcW w:w="1764" w:type="dxa"/>
            <w:noWrap w:val="0"/>
            <w:vAlign w:val="center"/>
          </w:tcPr>
          <w:p w14:paraId="3458169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6E1C9B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1164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1" w:type="dxa"/>
            <w:noWrap w:val="0"/>
            <w:vAlign w:val="center"/>
          </w:tcPr>
          <w:p w14:paraId="1286027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6</w:t>
            </w:r>
          </w:p>
        </w:tc>
        <w:tc>
          <w:tcPr>
            <w:tcW w:w="6750" w:type="dxa"/>
            <w:noWrap w:val="0"/>
            <w:vAlign w:val="center"/>
          </w:tcPr>
          <w:p w14:paraId="4516E67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带样品</w:t>
            </w:r>
          </w:p>
        </w:tc>
        <w:tc>
          <w:tcPr>
            <w:tcW w:w="1764" w:type="dxa"/>
            <w:noWrap w:val="0"/>
            <w:vAlign w:val="center"/>
          </w:tcPr>
          <w:p w14:paraId="5072992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069C734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1FDD61D2">
      <w:pPr>
        <w:keepNext w:val="0"/>
        <w:keepLines w:val="0"/>
        <w:pageBreakBefore w:val="0"/>
        <w:widowControl w:val="0"/>
        <w:kinsoku/>
        <w:wordWrap/>
        <w:overflowPunct/>
        <w:topLinePunct w:val="0"/>
        <w:autoSpaceDE/>
        <w:autoSpaceDN/>
        <w:bidi w:val="0"/>
        <w:adjustRightInd/>
        <w:snapToGrid/>
        <w:spacing w:line="240" w:lineRule="exact"/>
        <w:textAlignment w:val="auto"/>
      </w:pPr>
    </w:p>
    <w:p w14:paraId="11570369">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2D98E84A">
      <w:pPr>
        <w:rPr>
          <w:rFonts w:hint="default"/>
          <w:color w:val="C00000"/>
          <w:sz w:val="28"/>
          <w:szCs w:val="28"/>
          <w:lang w:val="en-US" w:eastAsia="zh-CN"/>
        </w:rPr>
      </w:pPr>
    </w:p>
    <w:p w14:paraId="34CC1BA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7E022FF5">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6FBB1E5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5783D13A">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7BD966CE">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7AB5E97C">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42DC488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112DFC88">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4B519170">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both"/>
        <w:textAlignment w:val="auto"/>
        <w:rPr>
          <w:rFonts w:hint="eastAsia"/>
          <w:b/>
          <w:sz w:val="32"/>
          <w:szCs w:val="32"/>
          <w:u w:val="single"/>
          <w:lang w:val="en-US" w:eastAsia="zh-Hans"/>
        </w:rPr>
      </w:pPr>
    </w:p>
    <w:p w14:paraId="3EAE91E3">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582D9266">
      <w:pPr>
        <w:rPr>
          <w:rFonts w:hint="default"/>
          <w:color w:val="C00000"/>
          <w:sz w:val="28"/>
          <w:szCs w:val="28"/>
          <w:lang w:val="en-US" w:eastAsia="zh-CN"/>
        </w:rPr>
      </w:pPr>
    </w:p>
    <w:p w14:paraId="75CB1581">
      <w:pPr>
        <w:rPr>
          <w:rFonts w:hint="default"/>
          <w:color w:val="C00000"/>
          <w:sz w:val="28"/>
          <w:szCs w:val="28"/>
          <w:lang w:val="en-US" w:eastAsia="zh-CN"/>
        </w:rPr>
      </w:pPr>
    </w:p>
    <w:p w14:paraId="0B25A37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r>
        <w:rPr>
          <w:rFonts w:hint="eastAsia"/>
          <w:b/>
          <w:sz w:val="32"/>
          <w:szCs w:val="32"/>
          <w:u w:val="single"/>
          <w:lang w:val="en-US" w:eastAsia="zh-Hans"/>
        </w:rPr>
        <w:t>一次性使用肝素帽</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3698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39C5A47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4A8DCE95">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027EE8F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0CA73EE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0821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jc w:val="center"/>
        </w:trPr>
        <w:tc>
          <w:tcPr>
            <w:tcW w:w="541" w:type="dxa"/>
            <w:noWrap w:val="0"/>
            <w:vAlign w:val="center"/>
          </w:tcPr>
          <w:p w14:paraId="7271B31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603CD970">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产品由</w:t>
            </w:r>
            <w:r>
              <w:rPr>
                <w:rFonts w:hint="eastAsia" w:ascii="仿宋" w:hAnsi="仿宋" w:eastAsia="仿宋" w:cs="仿宋"/>
                <w:color w:val="auto"/>
                <w:sz w:val="24"/>
                <w:szCs w:val="24"/>
                <w:lang w:val="en-US" w:eastAsia="zh-Hans"/>
              </w:rPr>
              <w:t>输液帽长接头、胶垫（胶帽）组成，主要材料为聚碳酸酯（</w:t>
            </w:r>
            <w:r>
              <w:rPr>
                <w:rFonts w:hint="default" w:ascii="仿宋" w:hAnsi="仿宋" w:eastAsia="仿宋" w:cs="仿宋"/>
                <w:color w:val="auto"/>
                <w:sz w:val="24"/>
                <w:szCs w:val="24"/>
                <w:lang w:eastAsia="zh-Hans"/>
              </w:rPr>
              <w:t>PC</w:t>
            </w:r>
            <w:r>
              <w:rPr>
                <w:rFonts w:hint="eastAsia" w:ascii="仿宋" w:hAnsi="仿宋" w:eastAsia="仿宋" w:cs="仿宋"/>
                <w:color w:val="auto"/>
                <w:sz w:val="24"/>
                <w:szCs w:val="24"/>
                <w:lang w:eastAsia="zh-Hans"/>
              </w:rPr>
              <w:t>）</w:t>
            </w:r>
          </w:p>
        </w:tc>
        <w:tc>
          <w:tcPr>
            <w:tcW w:w="1764" w:type="dxa"/>
            <w:noWrap w:val="0"/>
            <w:vAlign w:val="center"/>
          </w:tcPr>
          <w:p w14:paraId="4424E45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6732630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3C6E4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09DDEE0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78B9FB20">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产品适用于作为辅助性医疗器械，为输液提供管道和注射口</w:t>
            </w:r>
          </w:p>
        </w:tc>
        <w:tc>
          <w:tcPr>
            <w:tcW w:w="1764" w:type="dxa"/>
            <w:noWrap w:val="0"/>
            <w:vAlign w:val="center"/>
          </w:tcPr>
          <w:p w14:paraId="7591DF4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28DD8B7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21F8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541" w:type="dxa"/>
            <w:noWrap w:val="0"/>
            <w:vAlign w:val="center"/>
          </w:tcPr>
          <w:p w14:paraId="4DAC244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6534082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kern w:val="2"/>
                <w:sz w:val="24"/>
                <w:szCs w:val="24"/>
                <w:lang w:val="en-US" w:eastAsia="zh-Hans" w:bidi="ar-SA"/>
              </w:rPr>
            </w:pPr>
            <w:r>
              <w:rPr>
                <w:rFonts w:hint="eastAsia" w:ascii="仿宋" w:hAnsi="仿宋" w:eastAsia="仿宋" w:cs="仿宋"/>
                <w:color w:val="auto"/>
                <w:sz w:val="24"/>
                <w:szCs w:val="24"/>
                <w:lang w:val="en-US" w:eastAsia="zh-CN"/>
              </w:rPr>
              <w:t>产品采用可视透明化设计，螺口连接紧密不易脱落、漏液，表面光滑、无倒刺无凸起，可重复穿刺次数≥30次</w:t>
            </w:r>
          </w:p>
        </w:tc>
        <w:tc>
          <w:tcPr>
            <w:tcW w:w="1764" w:type="dxa"/>
            <w:noWrap w:val="0"/>
            <w:vAlign w:val="center"/>
          </w:tcPr>
          <w:p w14:paraId="7B7160C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4486D8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206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541" w:type="dxa"/>
            <w:noWrap w:val="0"/>
            <w:vAlign w:val="center"/>
          </w:tcPr>
          <w:p w14:paraId="4F7C844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2FC3C1C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39271A9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color w:val="auto"/>
                <w:sz w:val="24"/>
                <w:szCs w:val="24"/>
                <w:lang w:val="en-US" w:eastAsia="zh-CN"/>
              </w:rPr>
              <w:t>表面光滑、无倒刺无凸起，可重复穿刺次数≥30</w:t>
            </w:r>
            <w:r>
              <w:rPr>
                <w:rFonts w:hint="eastAsia" w:ascii="仿宋" w:hAnsi="仿宋" w:eastAsia="仿宋" w:cs="仿宋"/>
                <w:color w:val="auto"/>
                <w:sz w:val="24"/>
                <w:szCs w:val="24"/>
                <w:lang w:val="en-US" w:eastAsia="zh-Hans"/>
              </w:rPr>
              <w:t>次</w:t>
            </w:r>
          </w:p>
        </w:tc>
        <w:tc>
          <w:tcPr>
            <w:tcW w:w="1764" w:type="dxa"/>
            <w:noWrap w:val="0"/>
            <w:vAlign w:val="center"/>
          </w:tcPr>
          <w:p w14:paraId="0ABB6D8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084EF78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690C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541" w:type="dxa"/>
            <w:noWrap w:val="0"/>
            <w:vAlign w:val="center"/>
          </w:tcPr>
          <w:p w14:paraId="0F1575A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5</w:t>
            </w:r>
          </w:p>
        </w:tc>
        <w:tc>
          <w:tcPr>
            <w:tcW w:w="6750" w:type="dxa"/>
            <w:noWrap w:val="0"/>
            <w:vAlign w:val="center"/>
          </w:tcPr>
          <w:p w14:paraId="50086B6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b/>
                <w:bCs/>
                <w:color w:val="auto"/>
                <w:sz w:val="24"/>
                <w:szCs w:val="24"/>
                <w:lang w:val="en-US" w:eastAsia="zh-CN"/>
              </w:rPr>
            </w:pPr>
            <w:r>
              <w:rPr>
                <w:rFonts w:hint="eastAsia" w:ascii="仿宋" w:hAnsi="仿宋" w:eastAsia="仿宋" w:cs="仿宋"/>
                <w:color w:val="auto"/>
                <w:sz w:val="24"/>
                <w:szCs w:val="24"/>
                <w:lang w:val="en-US" w:eastAsia="zh-Hans"/>
              </w:rPr>
              <w:t>产品经环氧乙烷灭菌，一次性使用。有效期</w:t>
            </w:r>
            <w:r>
              <w:rPr>
                <w:rFonts w:hint="default" w:ascii="仿宋" w:hAnsi="仿宋" w:eastAsia="仿宋" w:cs="仿宋"/>
                <w:color w:val="auto"/>
                <w:sz w:val="24"/>
                <w:szCs w:val="24"/>
                <w:lang w:eastAsia="zh-Hans"/>
              </w:rPr>
              <w:t>3</w:t>
            </w:r>
            <w:r>
              <w:rPr>
                <w:rFonts w:hint="eastAsia" w:ascii="仿宋" w:hAnsi="仿宋" w:eastAsia="仿宋" w:cs="仿宋"/>
                <w:color w:val="auto"/>
                <w:sz w:val="24"/>
                <w:szCs w:val="24"/>
                <w:lang w:val="en-US" w:eastAsia="zh-Hans"/>
              </w:rPr>
              <w:t>年</w:t>
            </w:r>
          </w:p>
        </w:tc>
        <w:tc>
          <w:tcPr>
            <w:tcW w:w="1764" w:type="dxa"/>
            <w:noWrap w:val="0"/>
            <w:vAlign w:val="center"/>
          </w:tcPr>
          <w:p w14:paraId="4187C8F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534B7F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0671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1" w:type="dxa"/>
            <w:noWrap w:val="0"/>
            <w:vAlign w:val="center"/>
          </w:tcPr>
          <w:p w14:paraId="0949153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6</w:t>
            </w:r>
          </w:p>
        </w:tc>
        <w:tc>
          <w:tcPr>
            <w:tcW w:w="6750" w:type="dxa"/>
            <w:noWrap w:val="0"/>
            <w:vAlign w:val="center"/>
          </w:tcPr>
          <w:p w14:paraId="2F57FF4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带样品</w:t>
            </w:r>
          </w:p>
        </w:tc>
        <w:tc>
          <w:tcPr>
            <w:tcW w:w="1764" w:type="dxa"/>
            <w:noWrap w:val="0"/>
            <w:vAlign w:val="center"/>
          </w:tcPr>
          <w:p w14:paraId="1330EA0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2F4B7F2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55B99679">
      <w:pPr>
        <w:keepNext w:val="0"/>
        <w:keepLines w:val="0"/>
        <w:pageBreakBefore w:val="0"/>
        <w:widowControl w:val="0"/>
        <w:kinsoku/>
        <w:wordWrap/>
        <w:overflowPunct/>
        <w:topLinePunct w:val="0"/>
        <w:autoSpaceDE/>
        <w:autoSpaceDN/>
        <w:bidi w:val="0"/>
        <w:adjustRightInd/>
        <w:snapToGrid/>
        <w:spacing w:line="240" w:lineRule="exact"/>
        <w:textAlignment w:val="auto"/>
      </w:pPr>
    </w:p>
    <w:p w14:paraId="3FB9432D">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1A5BDD78">
      <w:pPr>
        <w:rPr>
          <w:rFonts w:hint="default"/>
          <w:color w:val="C00000"/>
          <w:sz w:val="28"/>
          <w:szCs w:val="28"/>
          <w:lang w:val="en-US" w:eastAsia="zh-CN"/>
        </w:rPr>
      </w:pPr>
      <w:bookmarkStart w:id="0" w:name="_GoBack"/>
      <w:bookmarkEnd w:id="0"/>
    </w:p>
    <w:p w14:paraId="744E4318">
      <w:pPr>
        <w:rPr>
          <w:rFonts w:hint="default"/>
          <w:color w:val="C00000"/>
          <w:sz w:val="28"/>
          <w:szCs w:val="28"/>
          <w:lang w:val="en-US" w:eastAsia="zh-CN"/>
        </w:rPr>
      </w:pPr>
    </w:p>
    <w:p w14:paraId="6E870C83">
      <w:pPr>
        <w:rPr>
          <w:rFonts w:hint="default"/>
          <w:color w:val="C00000"/>
          <w:sz w:val="28"/>
          <w:szCs w:val="28"/>
          <w:lang w:val="en-US" w:eastAsia="zh-CN"/>
        </w:rPr>
      </w:pPr>
    </w:p>
    <w:sectPr>
      <w:pgSz w:w="11906" w:h="16838"/>
      <w:pgMar w:top="1270" w:right="1293" w:bottom="1270" w:left="129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5ZGVmMzhlYjFjZDNmZTE4MWY5MWRmZWVkZWYxMzYifQ=="/>
  </w:docVars>
  <w:rsids>
    <w:rsidRoot w:val="056A3C41"/>
    <w:rsid w:val="0304067F"/>
    <w:rsid w:val="03D34F6D"/>
    <w:rsid w:val="04F15130"/>
    <w:rsid w:val="05555A51"/>
    <w:rsid w:val="056A3C41"/>
    <w:rsid w:val="14483D96"/>
    <w:rsid w:val="15E6759D"/>
    <w:rsid w:val="180C27CE"/>
    <w:rsid w:val="19820FF2"/>
    <w:rsid w:val="216B0C7F"/>
    <w:rsid w:val="22A57183"/>
    <w:rsid w:val="26D596C8"/>
    <w:rsid w:val="2C4A3B21"/>
    <w:rsid w:val="2F666452"/>
    <w:rsid w:val="33C31EDC"/>
    <w:rsid w:val="35DC660B"/>
    <w:rsid w:val="360008E9"/>
    <w:rsid w:val="361A4A7B"/>
    <w:rsid w:val="3692227A"/>
    <w:rsid w:val="37FD7FA9"/>
    <w:rsid w:val="38211B9D"/>
    <w:rsid w:val="39E80A65"/>
    <w:rsid w:val="3A77A9F9"/>
    <w:rsid w:val="3B471779"/>
    <w:rsid w:val="3E77D1A7"/>
    <w:rsid w:val="3ED50CA5"/>
    <w:rsid w:val="3FFD7F43"/>
    <w:rsid w:val="40186E05"/>
    <w:rsid w:val="423B7645"/>
    <w:rsid w:val="4BDD3FF6"/>
    <w:rsid w:val="56BFDC07"/>
    <w:rsid w:val="56CD124E"/>
    <w:rsid w:val="5866674F"/>
    <w:rsid w:val="586B51E9"/>
    <w:rsid w:val="5A252C23"/>
    <w:rsid w:val="65C53F73"/>
    <w:rsid w:val="65FFEBAF"/>
    <w:rsid w:val="667167B1"/>
    <w:rsid w:val="6DEEEAFC"/>
    <w:rsid w:val="6E223E59"/>
    <w:rsid w:val="70BD2481"/>
    <w:rsid w:val="713B58C8"/>
    <w:rsid w:val="73C73DB1"/>
    <w:rsid w:val="7657E623"/>
    <w:rsid w:val="76DFE139"/>
    <w:rsid w:val="77F536A4"/>
    <w:rsid w:val="77FACF89"/>
    <w:rsid w:val="79D756B5"/>
    <w:rsid w:val="79FFF4CB"/>
    <w:rsid w:val="7A8A7170"/>
    <w:rsid w:val="7CD32BDB"/>
    <w:rsid w:val="7DEFB07D"/>
    <w:rsid w:val="7EFF4631"/>
    <w:rsid w:val="7F2CFE83"/>
    <w:rsid w:val="7FEF3C03"/>
    <w:rsid w:val="7FFFFE38"/>
    <w:rsid w:val="9FBDD613"/>
    <w:rsid w:val="AFBE0F3A"/>
    <w:rsid w:val="D7D47418"/>
    <w:rsid w:val="DBBAE963"/>
    <w:rsid w:val="DD9540BB"/>
    <w:rsid w:val="DDEED2E9"/>
    <w:rsid w:val="DF7F0BF0"/>
    <w:rsid w:val="DFFFC77C"/>
    <w:rsid w:val="E5FF6B8C"/>
    <w:rsid w:val="E6CF40B7"/>
    <w:rsid w:val="ED7DC5A8"/>
    <w:rsid w:val="EF7C127C"/>
    <w:rsid w:val="EF7D1065"/>
    <w:rsid w:val="EF7EE8B4"/>
    <w:rsid w:val="F9F70EB2"/>
    <w:rsid w:val="FC7F689A"/>
    <w:rsid w:val="FCDF7048"/>
    <w:rsid w:val="FD1F9D4C"/>
    <w:rsid w:val="FF1F7D52"/>
    <w:rsid w:val="FF5E5A36"/>
    <w:rsid w:val="FFCE18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rPr>
      <w:rFonts w:ascii="Arial" w:hAnsi="Arial"/>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1032</Words>
  <Characters>1049</Characters>
  <Lines>0</Lines>
  <Paragraphs>0</Paragraphs>
  <TotalTime>0</TotalTime>
  <ScaleCrop>false</ScaleCrop>
  <LinksUpToDate>false</LinksUpToDate>
  <CharactersWithSpaces>1091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2023-03-25T18:02:00Z</dcterms:created>
  <dc:creator>Administrator</dc:creator>
  <cp:lastModifiedBy>酥糊</cp:lastModifiedBy>
  <dcterms:modified xsi:type="dcterms:W3CDTF">2025-08-22T09:34:12Z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8790DF66956A45069534D08242EBFC66_13</vt:lpwstr>
  </property>
  <property fmtid="{D5CDD505-2E9C-101B-9397-08002B2CF9AE}" pid="4" name="KSOTemplateDocerSaveRecord">
    <vt:lpwstr>eyJoZGlkIjoiMTU5NGE5MzUzODA2NmVhOGVmZTMzYWIzYzk3ZTgyYTMiLCJ1c2VySWQiOiI0NDAyMzgyNzIifQ==</vt:lpwstr>
  </property>
</Properties>
</file>