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DCFD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firstLine="643" w:firstLineChars="200"/>
        <w:jc w:val="center"/>
        <w:textAlignment w:val="auto"/>
        <w:rPr>
          <w:rFonts w:hint="eastAsia" w:asciiTheme="minorEastAsia" w:hAnsiTheme="minorEastAsia" w:eastAsiaTheme="minorEastAsia" w:cstheme="minorEastAsia"/>
          <w:b/>
          <w:sz w:val="36"/>
          <w:szCs w:val="36"/>
        </w:rPr>
      </w:pPr>
      <w:r>
        <w:rPr>
          <w:rFonts w:hint="eastAsia" w:asciiTheme="minorEastAsia" w:hAnsiTheme="minorEastAsia" w:eastAsiaTheme="minorEastAsia" w:cstheme="minorEastAsia"/>
          <w:b/>
          <w:sz w:val="32"/>
          <w:szCs w:val="32"/>
          <w:u w:val="single"/>
          <w:lang w:val="en-US" w:eastAsia="zh-Hans"/>
        </w:rPr>
        <w:t>医用多酶清洗剂</w:t>
      </w:r>
      <w:r>
        <w:rPr>
          <w:rFonts w:hint="eastAsia" w:asciiTheme="minorEastAsia" w:hAnsiTheme="minorEastAsia" w:eastAsiaTheme="minorEastAsia" w:cstheme="minorEastAsia"/>
          <w:b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sz w:val="32"/>
          <w:szCs w:val="32"/>
        </w:rPr>
        <w:t>参数技术要求</w:t>
      </w:r>
    </w:p>
    <w:tbl>
      <w:tblPr>
        <w:tblStyle w:val="4"/>
        <w:tblpPr w:leftFromText="180" w:rightFromText="180" w:vertAnchor="text" w:tblpXSpec="center" w:tblpY="324"/>
        <w:tblOverlap w:val="never"/>
        <w:tblW w:w="1014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1"/>
        <w:gridCol w:w="7593"/>
        <w:gridCol w:w="1135"/>
        <w:gridCol w:w="880"/>
      </w:tblGrid>
      <w:tr w14:paraId="6D0EB9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541" w:type="dxa"/>
            <w:noWrap w:val="0"/>
            <w:vAlign w:val="center"/>
          </w:tcPr>
          <w:p w14:paraId="4206EA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7593" w:type="dxa"/>
            <w:noWrap w:val="0"/>
            <w:vAlign w:val="center"/>
          </w:tcPr>
          <w:p w14:paraId="32E3BB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参数技术要求</w:t>
            </w:r>
          </w:p>
        </w:tc>
        <w:tc>
          <w:tcPr>
            <w:tcW w:w="1135" w:type="dxa"/>
            <w:noWrap w:val="0"/>
            <w:vAlign w:val="center"/>
          </w:tcPr>
          <w:p w14:paraId="3EAD84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正负偏离指标</w:t>
            </w:r>
          </w:p>
        </w:tc>
        <w:tc>
          <w:tcPr>
            <w:tcW w:w="880" w:type="dxa"/>
            <w:noWrap w:val="0"/>
            <w:vAlign w:val="center"/>
          </w:tcPr>
          <w:p w14:paraId="76448C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备注</w:t>
            </w:r>
          </w:p>
        </w:tc>
      </w:tr>
      <w:tr w14:paraId="0A2E7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8" w:hRule="atLeast"/>
          <w:jc w:val="center"/>
        </w:trPr>
        <w:tc>
          <w:tcPr>
            <w:tcW w:w="541" w:type="dxa"/>
            <w:noWrap w:val="0"/>
            <w:vAlign w:val="center"/>
          </w:tcPr>
          <w:p w14:paraId="2B9722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1</w:t>
            </w:r>
          </w:p>
        </w:tc>
        <w:tc>
          <w:tcPr>
            <w:tcW w:w="7593" w:type="dxa"/>
            <w:noWrap w:val="0"/>
            <w:vAlign w:val="center"/>
          </w:tcPr>
          <w:p w14:paraId="209B886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  <w:t>通过蛋白酶、脂肪酶、纤维素酶、淀粉酶等多酶协同作用分解有机污染物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Hans"/>
              </w:rPr>
              <w:t>。适用于消毒机、超声波清洗机等设备，可处理软硬式内窥镜、外科器械、管道、医用塑料等医疗器械的清洗需求</w:t>
            </w:r>
          </w:p>
        </w:tc>
        <w:tc>
          <w:tcPr>
            <w:tcW w:w="1135" w:type="dxa"/>
            <w:noWrap w:val="0"/>
            <w:vAlign w:val="center"/>
          </w:tcPr>
          <w:p w14:paraId="3C173A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880" w:type="dxa"/>
            <w:noWrap w:val="0"/>
            <w:vAlign w:val="center"/>
          </w:tcPr>
          <w:p w14:paraId="544932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7C5E08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 w:hRule="atLeast"/>
          <w:jc w:val="center"/>
        </w:trPr>
        <w:tc>
          <w:tcPr>
            <w:tcW w:w="541" w:type="dxa"/>
            <w:noWrap w:val="0"/>
            <w:vAlign w:val="center"/>
          </w:tcPr>
          <w:p w14:paraId="331225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2</w:t>
            </w:r>
          </w:p>
        </w:tc>
        <w:tc>
          <w:tcPr>
            <w:tcW w:w="7593" w:type="dxa"/>
            <w:noWrap w:val="0"/>
            <w:vAlign w:val="center"/>
          </w:tcPr>
          <w:p w14:paraId="63BE0B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Hans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Hans"/>
              </w:rPr>
              <w:t>规格5升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Hans"/>
              </w:rPr>
              <w:t>/2.5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Hans"/>
              </w:rPr>
              <w:t>升，分别报价。配置比例为1:200-400、不低于三种酶复合而成</w:t>
            </w:r>
          </w:p>
        </w:tc>
        <w:tc>
          <w:tcPr>
            <w:tcW w:w="1135" w:type="dxa"/>
            <w:noWrap w:val="0"/>
            <w:vAlign w:val="center"/>
          </w:tcPr>
          <w:p w14:paraId="30AC1B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880" w:type="dxa"/>
            <w:noWrap w:val="0"/>
            <w:vAlign w:val="center"/>
          </w:tcPr>
          <w:p w14:paraId="2C931C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78D3D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  <w:jc w:val="center"/>
        </w:trPr>
        <w:tc>
          <w:tcPr>
            <w:tcW w:w="541" w:type="dxa"/>
            <w:noWrap w:val="0"/>
            <w:vAlign w:val="center"/>
          </w:tcPr>
          <w:p w14:paraId="584336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7593" w:type="dxa"/>
            <w:noWrap w:val="0"/>
            <w:vAlign w:val="center"/>
          </w:tcPr>
          <w:p w14:paraId="1B26D7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  <w:t>ph值接近中性，范围在7-8内（提供第三方检验报告）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Hans"/>
              </w:rPr>
              <w:t>，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  <w:t>需具备金属腐蚀性测定报告，要求对不锈钢、碳钢、铜、铝基本无腐蚀</w:t>
            </w:r>
          </w:p>
        </w:tc>
        <w:tc>
          <w:tcPr>
            <w:tcW w:w="1135" w:type="dxa"/>
            <w:noWrap w:val="0"/>
            <w:vAlign w:val="center"/>
          </w:tcPr>
          <w:p w14:paraId="4B29CE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880" w:type="dxa"/>
            <w:noWrap w:val="0"/>
            <w:vAlign w:val="center"/>
          </w:tcPr>
          <w:p w14:paraId="7A8367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6A062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  <w:jc w:val="center"/>
        </w:trPr>
        <w:tc>
          <w:tcPr>
            <w:tcW w:w="541" w:type="dxa"/>
            <w:noWrap w:val="0"/>
            <w:vAlign w:val="center"/>
          </w:tcPr>
          <w:p w14:paraId="439E50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  <w:t>4</w:t>
            </w:r>
          </w:p>
          <w:p w14:paraId="1C5A34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7593" w:type="dxa"/>
            <w:noWrap w:val="0"/>
            <w:vAlign w:val="center"/>
          </w:tcPr>
          <w:p w14:paraId="3126D5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Hans"/>
              </w:rPr>
              <w:t>产品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  <w:t>需具备荧光增白剂限量测定报告，要求含量为0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Hans"/>
              </w:rPr>
              <w:t>；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  <w:t>需具备低温、高温物理性状稳定性测定报告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Hans"/>
              </w:rPr>
              <w:t>。</w:t>
            </w:r>
          </w:p>
        </w:tc>
        <w:tc>
          <w:tcPr>
            <w:tcW w:w="1135" w:type="dxa"/>
            <w:noWrap w:val="0"/>
            <w:vAlign w:val="center"/>
          </w:tcPr>
          <w:p w14:paraId="67D939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880" w:type="dxa"/>
            <w:noWrap w:val="0"/>
            <w:vAlign w:val="center"/>
          </w:tcPr>
          <w:p w14:paraId="6DF63F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55B8FB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541" w:type="dxa"/>
            <w:noWrap w:val="0"/>
            <w:vAlign w:val="center"/>
          </w:tcPr>
          <w:p w14:paraId="14576E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7593" w:type="dxa"/>
            <w:noWrap w:val="0"/>
            <w:vAlign w:val="center"/>
          </w:tcPr>
          <w:p w14:paraId="4E86F0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Hans"/>
              </w:rPr>
              <w:t>对蛋白质去除率为≥90%；对淀粉的去除率为≥60%；对脂肪的去除率≥50%，符合《医用清洗剂卫生标准》的要求（需提供第三方检测报告）</w:t>
            </w:r>
          </w:p>
        </w:tc>
        <w:tc>
          <w:tcPr>
            <w:tcW w:w="1135" w:type="dxa"/>
            <w:noWrap w:val="0"/>
            <w:vAlign w:val="center"/>
          </w:tcPr>
          <w:p w14:paraId="7B86F4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880" w:type="dxa"/>
            <w:noWrap w:val="0"/>
            <w:vAlign w:val="center"/>
          </w:tcPr>
          <w:p w14:paraId="54D258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49FF02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atLeast"/>
          <w:jc w:val="center"/>
        </w:trPr>
        <w:tc>
          <w:tcPr>
            <w:tcW w:w="541" w:type="dxa"/>
            <w:noWrap w:val="0"/>
            <w:vAlign w:val="center"/>
          </w:tcPr>
          <w:p w14:paraId="435968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7593" w:type="dxa"/>
            <w:noWrap w:val="0"/>
            <w:vAlign w:val="center"/>
          </w:tcPr>
          <w:p w14:paraId="04F61B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Hans"/>
              </w:rPr>
              <w:t>对血液和细菌混合物的去除率大于99%，符合《医用清洗剂卫生标准》的要求</w:t>
            </w:r>
          </w:p>
        </w:tc>
        <w:tc>
          <w:tcPr>
            <w:tcW w:w="1135" w:type="dxa"/>
            <w:noWrap w:val="0"/>
            <w:vAlign w:val="center"/>
          </w:tcPr>
          <w:p w14:paraId="7017D2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880" w:type="dxa"/>
            <w:noWrap w:val="0"/>
            <w:vAlign w:val="center"/>
          </w:tcPr>
          <w:p w14:paraId="7E7E51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16885B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541" w:type="dxa"/>
            <w:noWrap w:val="0"/>
            <w:vAlign w:val="center"/>
          </w:tcPr>
          <w:p w14:paraId="712E52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7593" w:type="dxa"/>
            <w:noWrap w:val="0"/>
            <w:vAlign w:val="center"/>
          </w:tcPr>
          <w:p w14:paraId="6DCD28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Hans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Hans"/>
              </w:rPr>
              <w:t xml:space="preserve"> 对人工模拟污染物去除率≥95%，符合《医用清洗剂卫生标准》的要求</w:t>
            </w:r>
          </w:p>
          <w:p w14:paraId="52EC40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val="en-US" w:eastAsia="zh-Hans" w:bidi="ar-SA"/>
              </w:rPr>
            </w:pPr>
          </w:p>
        </w:tc>
        <w:tc>
          <w:tcPr>
            <w:tcW w:w="1135" w:type="dxa"/>
            <w:noWrap w:val="0"/>
            <w:vAlign w:val="center"/>
          </w:tcPr>
          <w:p w14:paraId="1DC962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880" w:type="dxa"/>
            <w:noWrap w:val="0"/>
            <w:vAlign w:val="center"/>
          </w:tcPr>
          <w:p w14:paraId="229FD2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48BA5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541" w:type="dxa"/>
            <w:noWrap w:val="0"/>
            <w:vAlign w:val="center"/>
          </w:tcPr>
          <w:p w14:paraId="1962DB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7593" w:type="dxa"/>
            <w:noWrap w:val="0"/>
            <w:vAlign w:val="center"/>
          </w:tcPr>
          <w:p w14:paraId="647172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Hans"/>
              </w:rPr>
              <w:t>能有效去除生物膜，并提供去除效果实验报告。</w:t>
            </w:r>
          </w:p>
        </w:tc>
        <w:tc>
          <w:tcPr>
            <w:tcW w:w="1135" w:type="dxa"/>
            <w:noWrap w:val="0"/>
            <w:vAlign w:val="center"/>
          </w:tcPr>
          <w:p w14:paraId="2C473A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880" w:type="dxa"/>
            <w:noWrap w:val="0"/>
            <w:vAlign w:val="center"/>
          </w:tcPr>
          <w:p w14:paraId="63320A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5B3CB3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541" w:type="dxa"/>
            <w:noWrap w:val="0"/>
            <w:vAlign w:val="center"/>
          </w:tcPr>
          <w:p w14:paraId="5E1092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7593" w:type="dxa"/>
            <w:noWrap w:val="0"/>
            <w:vAlign w:val="center"/>
          </w:tcPr>
          <w:p w14:paraId="3290DC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Hans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Hans"/>
              </w:rPr>
              <w:t>具有急性经口毒性试验、一次性完整皮肤刺激试验、皮肤变态反应试验的检验报告。</w:t>
            </w:r>
          </w:p>
        </w:tc>
        <w:tc>
          <w:tcPr>
            <w:tcW w:w="1135" w:type="dxa"/>
            <w:noWrap w:val="0"/>
            <w:vAlign w:val="center"/>
          </w:tcPr>
          <w:p w14:paraId="745E54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880" w:type="dxa"/>
            <w:noWrap w:val="0"/>
            <w:vAlign w:val="center"/>
          </w:tcPr>
          <w:p w14:paraId="27D2F5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092E75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  <w:jc w:val="center"/>
        </w:trPr>
        <w:tc>
          <w:tcPr>
            <w:tcW w:w="541" w:type="dxa"/>
            <w:noWrap w:val="0"/>
            <w:vAlign w:val="center"/>
          </w:tcPr>
          <w:p w14:paraId="0F93C3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7593" w:type="dxa"/>
            <w:noWrap w:val="0"/>
            <w:vAlign w:val="center"/>
          </w:tcPr>
          <w:p w14:paraId="61E198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Hans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Hans"/>
              </w:rPr>
              <w:t>微生物指标：微生物指标的细菌菌落总数＜100CFU/ml，致病性化脓菌均未检出，符合T/WSJD 002-2019微生物指标的规定。【提供检验报告】</w:t>
            </w:r>
          </w:p>
        </w:tc>
        <w:tc>
          <w:tcPr>
            <w:tcW w:w="1135" w:type="dxa"/>
            <w:noWrap w:val="0"/>
            <w:vAlign w:val="center"/>
          </w:tcPr>
          <w:p w14:paraId="3029EF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880" w:type="dxa"/>
            <w:noWrap w:val="0"/>
            <w:vAlign w:val="center"/>
          </w:tcPr>
          <w:p w14:paraId="414993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0EB8F0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541" w:type="dxa"/>
            <w:noWrap w:val="0"/>
            <w:vAlign w:val="center"/>
          </w:tcPr>
          <w:p w14:paraId="00E9CD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Theme="minorEastAsia" w:hAnsiTheme="minorEastAsia" w:cstheme="minorEastAsia"/>
                <w:color w:val="auto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7593" w:type="dxa"/>
            <w:noWrap w:val="0"/>
            <w:vAlign w:val="center"/>
          </w:tcPr>
          <w:p w14:paraId="398546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Hans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val="en-US" w:eastAsia="zh-Hans"/>
              </w:rPr>
              <w:t>产品效期</w:t>
            </w: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val="en-US" w:eastAsia="zh-CN"/>
              </w:rPr>
              <w:t>≥</w:t>
            </w:r>
            <w:r>
              <w:rPr>
                <w:rFonts w:hint="default" w:asciiTheme="minorEastAsia" w:hAnsiTheme="minorEastAsia" w:cstheme="minorEastAsia"/>
                <w:color w:val="auto"/>
                <w:sz w:val="24"/>
                <w:szCs w:val="24"/>
                <w:lang w:eastAsia="zh-Hans"/>
              </w:rPr>
              <w:t>24</w:t>
            </w: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val="en-US" w:eastAsia="zh-Hans"/>
              </w:rPr>
              <w:t>个月</w:t>
            </w:r>
          </w:p>
        </w:tc>
        <w:tc>
          <w:tcPr>
            <w:tcW w:w="1135" w:type="dxa"/>
            <w:noWrap w:val="0"/>
            <w:vAlign w:val="center"/>
          </w:tcPr>
          <w:p w14:paraId="51FCF7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880" w:type="dxa"/>
            <w:noWrap w:val="0"/>
            <w:vAlign w:val="center"/>
          </w:tcPr>
          <w:p w14:paraId="42354B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29BD5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541" w:type="dxa"/>
            <w:noWrap w:val="0"/>
            <w:vAlign w:val="center"/>
          </w:tcPr>
          <w:p w14:paraId="53D281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Theme="minorEastAsia" w:hAnsiTheme="minorEastAsia" w:cstheme="minorEastAsia"/>
                <w:color w:val="auto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593" w:type="dxa"/>
            <w:noWrap w:val="0"/>
            <w:vAlign w:val="center"/>
          </w:tcPr>
          <w:p w14:paraId="6E984E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Hans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Hans"/>
              </w:rPr>
              <w:t>带样品</w:t>
            </w:r>
          </w:p>
        </w:tc>
        <w:tc>
          <w:tcPr>
            <w:tcW w:w="1135" w:type="dxa"/>
            <w:noWrap w:val="0"/>
            <w:vAlign w:val="center"/>
          </w:tcPr>
          <w:p w14:paraId="349F8E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880" w:type="dxa"/>
            <w:noWrap w:val="0"/>
            <w:vAlign w:val="center"/>
          </w:tcPr>
          <w:p w14:paraId="63C065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</w:tbl>
    <w:p w14:paraId="280172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 w:asciiTheme="minorEastAsia" w:hAnsiTheme="minorEastAsia" w:eastAsiaTheme="minorEastAsia" w:cstheme="minorEastAsia"/>
        </w:rPr>
      </w:pPr>
    </w:p>
    <w:p w14:paraId="603397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 w:asciiTheme="minorEastAsia" w:hAnsiTheme="minorEastAsia" w:eastAsiaTheme="minorEastAsia" w:cstheme="minorEastAsia"/>
        </w:rPr>
      </w:pPr>
    </w:p>
    <w:p w14:paraId="48463EEF">
      <w:pPr>
        <w:rPr>
          <w:rFonts w:hint="default"/>
          <w:color w:val="C0000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C00000"/>
          <w:sz w:val="28"/>
          <w:szCs w:val="28"/>
          <w:lang w:val="en-US" w:eastAsia="zh-CN"/>
        </w:rPr>
        <w:t>所有参数，仅供招标采购技术指导，部分条款不限于此，不具有产品指定性。走第三方集中配送。</w:t>
      </w:r>
      <w:r>
        <w:rPr>
          <w:rFonts w:hint="eastAsia"/>
          <w:color w:val="C00000"/>
          <w:sz w:val="28"/>
          <w:szCs w:val="28"/>
          <w:lang w:val="en-US" w:eastAsia="zh-CN"/>
        </w:rPr>
        <w:t xml:space="preserve">正确填写本表，对应参数响应请在产品说明书中标示或提供证明材料。        </w:t>
      </w:r>
    </w:p>
    <w:p w14:paraId="710E41D7">
      <w:pPr>
        <w:rPr>
          <w:rFonts w:hint="eastAsia" w:asciiTheme="minorEastAsia" w:hAnsiTheme="minorEastAsia" w:eastAsiaTheme="minorEastAsia" w:cstheme="minorEastAsia"/>
          <w:color w:val="C0000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C00000"/>
          <w:sz w:val="28"/>
          <w:szCs w:val="28"/>
          <w:lang w:val="en-US" w:eastAsia="zh-CN"/>
        </w:rPr>
        <w:t xml:space="preserve">      </w:t>
      </w:r>
    </w:p>
    <w:p w14:paraId="7ED6A3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firstLine="643" w:firstLineChars="200"/>
        <w:jc w:val="center"/>
        <w:textAlignment w:val="auto"/>
        <w:rPr>
          <w:rFonts w:hint="eastAsia" w:asciiTheme="minorEastAsia" w:hAnsiTheme="minorEastAsia" w:eastAsiaTheme="minorEastAsia" w:cstheme="minorEastAsia"/>
          <w:b/>
          <w:sz w:val="32"/>
          <w:szCs w:val="32"/>
          <w:u w:val="single"/>
          <w:lang w:val="en-US" w:eastAsia="zh-Hans"/>
        </w:rPr>
      </w:pPr>
    </w:p>
    <w:p w14:paraId="1E8B44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firstLine="643" w:firstLineChars="200"/>
        <w:jc w:val="center"/>
        <w:textAlignment w:val="auto"/>
        <w:rPr>
          <w:rFonts w:hint="eastAsia" w:asciiTheme="minorEastAsia" w:hAnsiTheme="minorEastAsia" w:eastAsiaTheme="minorEastAsia" w:cstheme="minorEastAsia"/>
          <w:b/>
          <w:sz w:val="36"/>
          <w:szCs w:val="36"/>
        </w:rPr>
      </w:pPr>
      <w:r>
        <w:rPr>
          <w:rFonts w:hint="eastAsia" w:asciiTheme="minorEastAsia" w:hAnsiTheme="minorEastAsia" w:eastAsiaTheme="minorEastAsia" w:cstheme="minorEastAsia"/>
          <w:b/>
          <w:sz w:val="32"/>
          <w:szCs w:val="32"/>
          <w:u w:val="single"/>
          <w:lang w:val="en-US" w:eastAsia="zh-Hans"/>
        </w:rPr>
        <w:t>医用高效多酶清洗剂</w:t>
      </w:r>
      <w:r>
        <w:rPr>
          <w:rFonts w:hint="eastAsia" w:asciiTheme="minorEastAsia" w:hAnsiTheme="minorEastAsia" w:eastAsiaTheme="minorEastAsia" w:cstheme="minorEastAsia"/>
          <w:b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sz w:val="32"/>
          <w:szCs w:val="32"/>
        </w:rPr>
        <w:t>参数技术要求</w:t>
      </w:r>
    </w:p>
    <w:tbl>
      <w:tblPr>
        <w:tblStyle w:val="4"/>
        <w:tblpPr w:leftFromText="180" w:rightFromText="180" w:vertAnchor="text" w:tblpXSpec="center" w:tblpY="324"/>
        <w:tblOverlap w:val="never"/>
        <w:tblW w:w="1014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1"/>
        <w:gridCol w:w="7593"/>
        <w:gridCol w:w="1135"/>
        <w:gridCol w:w="880"/>
      </w:tblGrid>
      <w:tr w14:paraId="7E55A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541" w:type="dxa"/>
            <w:noWrap w:val="0"/>
            <w:vAlign w:val="center"/>
          </w:tcPr>
          <w:p w14:paraId="76ACD0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7593" w:type="dxa"/>
            <w:noWrap w:val="0"/>
            <w:vAlign w:val="center"/>
          </w:tcPr>
          <w:p w14:paraId="3525DC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参数技术要求</w:t>
            </w:r>
          </w:p>
        </w:tc>
        <w:tc>
          <w:tcPr>
            <w:tcW w:w="1135" w:type="dxa"/>
            <w:noWrap w:val="0"/>
            <w:vAlign w:val="center"/>
          </w:tcPr>
          <w:p w14:paraId="6FB10F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正负偏离指标</w:t>
            </w:r>
          </w:p>
        </w:tc>
        <w:tc>
          <w:tcPr>
            <w:tcW w:w="880" w:type="dxa"/>
            <w:noWrap w:val="0"/>
            <w:vAlign w:val="center"/>
          </w:tcPr>
          <w:p w14:paraId="389C20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备注</w:t>
            </w:r>
          </w:p>
        </w:tc>
      </w:tr>
      <w:tr w14:paraId="0C2CE6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  <w:jc w:val="center"/>
        </w:trPr>
        <w:tc>
          <w:tcPr>
            <w:tcW w:w="541" w:type="dxa"/>
            <w:noWrap w:val="0"/>
            <w:vAlign w:val="center"/>
          </w:tcPr>
          <w:p w14:paraId="25CFB1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1</w:t>
            </w:r>
          </w:p>
        </w:tc>
        <w:tc>
          <w:tcPr>
            <w:tcW w:w="7593" w:type="dxa"/>
            <w:noWrap w:val="0"/>
            <w:vAlign w:val="center"/>
          </w:tcPr>
          <w:p w14:paraId="08BDE45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医疗器械清洗专用制剂，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通过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  <w:t>蛋白酶、脂肪酶、纤维素酶、淀粉酶等多酶协同作用分解有机污染物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Hans"/>
              </w:rPr>
              <w:t>。适用于消毒机、超声波清洗机等设备，可处理软硬式内窥镜、外科器械、管道、医用塑料等医疗器械的清洗需求</w:t>
            </w:r>
          </w:p>
        </w:tc>
        <w:tc>
          <w:tcPr>
            <w:tcW w:w="1135" w:type="dxa"/>
            <w:noWrap w:val="0"/>
            <w:vAlign w:val="center"/>
          </w:tcPr>
          <w:p w14:paraId="7BAFE3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880" w:type="dxa"/>
            <w:noWrap w:val="0"/>
            <w:vAlign w:val="center"/>
          </w:tcPr>
          <w:p w14:paraId="2ADD18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215814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541" w:type="dxa"/>
            <w:noWrap w:val="0"/>
            <w:vAlign w:val="center"/>
          </w:tcPr>
          <w:p w14:paraId="0E71F5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2</w:t>
            </w:r>
          </w:p>
        </w:tc>
        <w:tc>
          <w:tcPr>
            <w:tcW w:w="7593" w:type="dxa"/>
            <w:noWrap w:val="0"/>
            <w:vAlign w:val="center"/>
          </w:tcPr>
          <w:p w14:paraId="6556B1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Hans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Hans"/>
              </w:rPr>
              <w:t>规格5升，配置比例为1:200-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Hans"/>
              </w:rPr>
              <w:t>10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Hans"/>
              </w:rPr>
              <w:t>00、不低于三种酶复合而成</w:t>
            </w:r>
          </w:p>
        </w:tc>
        <w:tc>
          <w:tcPr>
            <w:tcW w:w="1135" w:type="dxa"/>
            <w:noWrap w:val="0"/>
            <w:vAlign w:val="center"/>
          </w:tcPr>
          <w:p w14:paraId="46DA94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880" w:type="dxa"/>
            <w:noWrap w:val="0"/>
            <w:vAlign w:val="center"/>
          </w:tcPr>
          <w:p w14:paraId="256B54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44BB0B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atLeast"/>
          <w:jc w:val="center"/>
        </w:trPr>
        <w:tc>
          <w:tcPr>
            <w:tcW w:w="541" w:type="dxa"/>
            <w:noWrap w:val="0"/>
            <w:vAlign w:val="center"/>
          </w:tcPr>
          <w:p w14:paraId="61E34C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7593" w:type="dxa"/>
            <w:noWrap w:val="0"/>
            <w:vAlign w:val="center"/>
          </w:tcPr>
          <w:p w14:paraId="0C90C0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  <w:t>ph值接近中性，范围在7-8内（提供第三方检验报告）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Hans"/>
              </w:rPr>
              <w:t>，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  <w:t>需具备金属腐蚀性测定报告，要求对不锈钢、碳钢、铜、铝基本无腐蚀</w:t>
            </w:r>
          </w:p>
        </w:tc>
        <w:tc>
          <w:tcPr>
            <w:tcW w:w="1135" w:type="dxa"/>
            <w:noWrap w:val="0"/>
            <w:vAlign w:val="center"/>
          </w:tcPr>
          <w:p w14:paraId="32FDC6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880" w:type="dxa"/>
            <w:noWrap w:val="0"/>
            <w:vAlign w:val="center"/>
          </w:tcPr>
          <w:p w14:paraId="38A44D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71AA1C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  <w:jc w:val="center"/>
        </w:trPr>
        <w:tc>
          <w:tcPr>
            <w:tcW w:w="541" w:type="dxa"/>
            <w:noWrap w:val="0"/>
            <w:vAlign w:val="center"/>
          </w:tcPr>
          <w:p w14:paraId="03DE00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  <w:t>4</w:t>
            </w:r>
          </w:p>
          <w:p w14:paraId="083F87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7593" w:type="dxa"/>
            <w:noWrap w:val="0"/>
            <w:vAlign w:val="center"/>
          </w:tcPr>
          <w:p w14:paraId="6D18D7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Hans"/>
              </w:rPr>
              <w:t>产品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  <w:t>需具备荧光增白剂限量测定报告，要求含量为0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Hans"/>
              </w:rPr>
              <w:t>；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  <w:t>需具备低温、高温物理性状稳定性测定报告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Hans"/>
              </w:rPr>
              <w:t>。</w:t>
            </w:r>
          </w:p>
        </w:tc>
        <w:tc>
          <w:tcPr>
            <w:tcW w:w="1135" w:type="dxa"/>
            <w:noWrap w:val="0"/>
            <w:vAlign w:val="center"/>
          </w:tcPr>
          <w:p w14:paraId="2C3DF6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880" w:type="dxa"/>
            <w:noWrap w:val="0"/>
            <w:vAlign w:val="center"/>
          </w:tcPr>
          <w:p w14:paraId="5FC659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7F4EAA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541" w:type="dxa"/>
            <w:noWrap w:val="0"/>
            <w:vAlign w:val="center"/>
          </w:tcPr>
          <w:p w14:paraId="3ED455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7593" w:type="dxa"/>
            <w:noWrap w:val="0"/>
            <w:vAlign w:val="center"/>
          </w:tcPr>
          <w:p w14:paraId="583344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Hans"/>
              </w:rPr>
              <w:t>对蛋白质去除率为≥90%；对淀粉的去除率为≥60%；对脂肪的去除率≥50%，符合《医用清洗剂卫生标准》的要求（需提供第三方检测报告）</w:t>
            </w:r>
          </w:p>
        </w:tc>
        <w:tc>
          <w:tcPr>
            <w:tcW w:w="1135" w:type="dxa"/>
            <w:noWrap w:val="0"/>
            <w:vAlign w:val="center"/>
          </w:tcPr>
          <w:p w14:paraId="1954A9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880" w:type="dxa"/>
            <w:noWrap w:val="0"/>
            <w:vAlign w:val="center"/>
          </w:tcPr>
          <w:p w14:paraId="0C9ECA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5DF66A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541" w:type="dxa"/>
            <w:noWrap w:val="0"/>
            <w:vAlign w:val="center"/>
          </w:tcPr>
          <w:p w14:paraId="2B8684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7593" w:type="dxa"/>
            <w:noWrap w:val="0"/>
            <w:vAlign w:val="center"/>
          </w:tcPr>
          <w:p w14:paraId="6D7EDD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Hans"/>
              </w:rPr>
              <w:t>对血液和细菌混合物的去除率大于99%，符合《医用清洗剂卫生标准》的要求</w:t>
            </w:r>
          </w:p>
        </w:tc>
        <w:tc>
          <w:tcPr>
            <w:tcW w:w="1135" w:type="dxa"/>
            <w:noWrap w:val="0"/>
            <w:vAlign w:val="center"/>
          </w:tcPr>
          <w:p w14:paraId="3F0ECB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880" w:type="dxa"/>
            <w:noWrap w:val="0"/>
            <w:vAlign w:val="center"/>
          </w:tcPr>
          <w:p w14:paraId="59AB3F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56CEAD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541" w:type="dxa"/>
            <w:noWrap w:val="0"/>
            <w:vAlign w:val="center"/>
          </w:tcPr>
          <w:p w14:paraId="258AA0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7593" w:type="dxa"/>
            <w:noWrap w:val="0"/>
            <w:vAlign w:val="center"/>
          </w:tcPr>
          <w:p w14:paraId="7A0980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Hans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Hans"/>
              </w:rPr>
              <w:t xml:space="preserve"> 对人工模拟污染物去除率≥95%，符合《医用清洗剂卫生标准》的要求</w:t>
            </w:r>
          </w:p>
          <w:p w14:paraId="31E1DE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val="en-US" w:eastAsia="zh-Hans" w:bidi="ar-SA"/>
              </w:rPr>
            </w:pPr>
          </w:p>
        </w:tc>
        <w:tc>
          <w:tcPr>
            <w:tcW w:w="1135" w:type="dxa"/>
            <w:noWrap w:val="0"/>
            <w:vAlign w:val="center"/>
          </w:tcPr>
          <w:p w14:paraId="22E269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880" w:type="dxa"/>
            <w:noWrap w:val="0"/>
            <w:vAlign w:val="center"/>
          </w:tcPr>
          <w:p w14:paraId="726F15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15A58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541" w:type="dxa"/>
            <w:noWrap w:val="0"/>
            <w:vAlign w:val="center"/>
          </w:tcPr>
          <w:p w14:paraId="6FEC3A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7593" w:type="dxa"/>
            <w:noWrap w:val="0"/>
            <w:vAlign w:val="center"/>
          </w:tcPr>
          <w:p w14:paraId="12BC34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Hans"/>
              </w:rPr>
              <w:t>能有效去除生物膜，并提供去除效果实验报告。</w:t>
            </w:r>
          </w:p>
        </w:tc>
        <w:tc>
          <w:tcPr>
            <w:tcW w:w="1135" w:type="dxa"/>
            <w:noWrap w:val="0"/>
            <w:vAlign w:val="center"/>
          </w:tcPr>
          <w:p w14:paraId="1D90C1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880" w:type="dxa"/>
            <w:noWrap w:val="0"/>
            <w:vAlign w:val="center"/>
          </w:tcPr>
          <w:p w14:paraId="399792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3962BE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  <w:jc w:val="center"/>
        </w:trPr>
        <w:tc>
          <w:tcPr>
            <w:tcW w:w="541" w:type="dxa"/>
            <w:noWrap w:val="0"/>
            <w:vAlign w:val="center"/>
          </w:tcPr>
          <w:p w14:paraId="7C406C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7593" w:type="dxa"/>
            <w:noWrap w:val="0"/>
            <w:vAlign w:val="center"/>
          </w:tcPr>
          <w:p w14:paraId="2C3EE9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Hans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Hans"/>
              </w:rPr>
              <w:t>具有急性经口毒性试验、一次性完整皮肤刺激试验、皮肤变态反应试验的检验报告。</w:t>
            </w:r>
          </w:p>
        </w:tc>
        <w:tc>
          <w:tcPr>
            <w:tcW w:w="1135" w:type="dxa"/>
            <w:noWrap w:val="0"/>
            <w:vAlign w:val="center"/>
          </w:tcPr>
          <w:p w14:paraId="6CBCC0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880" w:type="dxa"/>
            <w:noWrap w:val="0"/>
            <w:vAlign w:val="center"/>
          </w:tcPr>
          <w:p w14:paraId="1D3074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49DD9B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  <w:jc w:val="center"/>
        </w:trPr>
        <w:tc>
          <w:tcPr>
            <w:tcW w:w="541" w:type="dxa"/>
            <w:noWrap w:val="0"/>
            <w:vAlign w:val="center"/>
          </w:tcPr>
          <w:p w14:paraId="35A567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7593" w:type="dxa"/>
            <w:noWrap w:val="0"/>
            <w:vAlign w:val="center"/>
          </w:tcPr>
          <w:p w14:paraId="443DA8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Hans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Hans"/>
              </w:rPr>
              <w:t>微生物指标：微生物指标的细菌菌落总数＜100CFU/ml，致病性化脓菌均未检出，符合T/WSJD 002-2019微生物指标的规定。【提供检验报告】</w:t>
            </w:r>
          </w:p>
        </w:tc>
        <w:tc>
          <w:tcPr>
            <w:tcW w:w="1135" w:type="dxa"/>
            <w:noWrap w:val="0"/>
            <w:vAlign w:val="center"/>
          </w:tcPr>
          <w:p w14:paraId="4CA398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880" w:type="dxa"/>
            <w:noWrap w:val="0"/>
            <w:vAlign w:val="center"/>
          </w:tcPr>
          <w:p w14:paraId="2B17BA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67714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541" w:type="dxa"/>
            <w:noWrap w:val="0"/>
            <w:vAlign w:val="center"/>
          </w:tcPr>
          <w:p w14:paraId="7B95FC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Theme="minorEastAsia" w:hAnsiTheme="minorEastAsia" w:cstheme="minorEastAsia"/>
                <w:color w:val="auto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7593" w:type="dxa"/>
            <w:noWrap w:val="0"/>
            <w:vAlign w:val="center"/>
          </w:tcPr>
          <w:p w14:paraId="4826BC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Hans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val="en-US" w:eastAsia="zh-Hans"/>
              </w:rPr>
              <w:t>产品效期</w:t>
            </w: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val="en-US" w:eastAsia="zh-CN"/>
              </w:rPr>
              <w:t>≥</w:t>
            </w:r>
            <w:r>
              <w:rPr>
                <w:rFonts w:hint="default" w:asciiTheme="minorEastAsia" w:hAnsiTheme="minorEastAsia" w:cstheme="minorEastAsia"/>
                <w:color w:val="auto"/>
                <w:sz w:val="24"/>
                <w:szCs w:val="24"/>
                <w:lang w:eastAsia="zh-Hans"/>
              </w:rPr>
              <w:t>24</w:t>
            </w: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val="en-US" w:eastAsia="zh-Hans"/>
              </w:rPr>
              <w:t>个月</w:t>
            </w:r>
          </w:p>
        </w:tc>
        <w:tc>
          <w:tcPr>
            <w:tcW w:w="1135" w:type="dxa"/>
            <w:noWrap w:val="0"/>
            <w:vAlign w:val="center"/>
          </w:tcPr>
          <w:p w14:paraId="24FE1C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880" w:type="dxa"/>
            <w:noWrap w:val="0"/>
            <w:vAlign w:val="center"/>
          </w:tcPr>
          <w:p w14:paraId="3E3D3C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</w:tbl>
    <w:p w14:paraId="63E068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 w:asciiTheme="minorEastAsia" w:hAnsiTheme="minorEastAsia" w:eastAsiaTheme="minorEastAsia" w:cstheme="minorEastAsia"/>
        </w:rPr>
      </w:pPr>
    </w:p>
    <w:p w14:paraId="23FB84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 w:asciiTheme="minorEastAsia" w:hAnsiTheme="minorEastAsia" w:eastAsiaTheme="minorEastAsia" w:cstheme="minorEastAsia"/>
        </w:rPr>
      </w:pPr>
    </w:p>
    <w:p w14:paraId="132E5CED">
      <w:pPr>
        <w:rPr>
          <w:rFonts w:hint="default"/>
          <w:color w:val="C0000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C00000"/>
          <w:sz w:val="28"/>
          <w:szCs w:val="28"/>
          <w:lang w:val="en-US" w:eastAsia="zh-CN"/>
        </w:rPr>
        <w:t>所有参数，仅供招标采购技术指导，部分条款不限于此，不具有产品指定性。走第三方集中配送。</w:t>
      </w:r>
      <w:r>
        <w:rPr>
          <w:rFonts w:hint="eastAsia"/>
          <w:color w:val="C00000"/>
          <w:sz w:val="28"/>
          <w:szCs w:val="28"/>
          <w:lang w:val="en-US" w:eastAsia="zh-CN"/>
        </w:rPr>
        <w:t xml:space="preserve">正确填写本表，对应参数响应请在产品说明书中标示或提供证明材料。        </w:t>
      </w:r>
    </w:p>
    <w:p w14:paraId="4847F55D">
      <w:pPr>
        <w:rPr>
          <w:rFonts w:hint="eastAsia" w:asciiTheme="minorEastAsia" w:hAnsiTheme="minorEastAsia" w:eastAsiaTheme="minorEastAsia" w:cstheme="minorEastAsia"/>
          <w:color w:val="C0000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C00000"/>
          <w:sz w:val="28"/>
          <w:szCs w:val="28"/>
          <w:lang w:val="en-US" w:eastAsia="zh-CN"/>
        </w:rPr>
        <w:t xml:space="preserve">       </w:t>
      </w:r>
    </w:p>
    <w:p w14:paraId="0DB931F6">
      <w:pPr>
        <w:rPr>
          <w:rFonts w:hint="eastAsia" w:asciiTheme="minorEastAsia" w:hAnsiTheme="minorEastAsia" w:eastAsiaTheme="minorEastAsia" w:cstheme="minorEastAsia"/>
          <w:color w:val="C00000"/>
          <w:sz w:val="28"/>
          <w:szCs w:val="28"/>
          <w:lang w:val="en-US" w:eastAsia="zh-CN"/>
        </w:rPr>
      </w:pPr>
    </w:p>
    <w:p w14:paraId="3F8B5280">
      <w:pPr>
        <w:rPr>
          <w:rFonts w:hint="eastAsia" w:asciiTheme="minorEastAsia" w:hAnsiTheme="minorEastAsia" w:eastAsiaTheme="minorEastAsia" w:cstheme="minorEastAsia"/>
          <w:color w:val="C00000"/>
          <w:sz w:val="28"/>
          <w:szCs w:val="28"/>
          <w:lang w:val="en-US" w:eastAsia="zh-CN"/>
        </w:rPr>
      </w:pPr>
    </w:p>
    <w:p w14:paraId="0E84C4FE">
      <w:pPr>
        <w:rPr>
          <w:rFonts w:hint="eastAsia" w:asciiTheme="minorEastAsia" w:hAnsiTheme="minorEastAsia" w:eastAsiaTheme="minorEastAsia" w:cstheme="minorEastAsia"/>
          <w:color w:val="C00000"/>
          <w:sz w:val="28"/>
          <w:szCs w:val="28"/>
          <w:lang w:val="en-US" w:eastAsia="zh-CN"/>
        </w:rPr>
      </w:pPr>
    </w:p>
    <w:p w14:paraId="73BD8D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firstLine="643" w:firstLineChars="200"/>
        <w:jc w:val="center"/>
        <w:textAlignment w:val="auto"/>
        <w:rPr>
          <w:rFonts w:hint="eastAsia" w:asciiTheme="minorEastAsia" w:hAnsiTheme="minorEastAsia" w:eastAsiaTheme="minorEastAsia" w:cstheme="minorEastAsia"/>
          <w:b/>
          <w:sz w:val="32"/>
          <w:szCs w:val="32"/>
          <w:u w:val="single"/>
          <w:lang w:val="en-US" w:eastAsia="zh-Hans"/>
        </w:rPr>
      </w:pPr>
    </w:p>
    <w:p w14:paraId="311851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firstLine="643" w:firstLineChars="200"/>
        <w:jc w:val="center"/>
        <w:textAlignment w:val="auto"/>
        <w:rPr>
          <w:rFonts w:hint="eastAsia" w:asciiTheme="minorEastAsia" w:hAnsiTheme="minorEastAsia" w:eastAsiaTheme="minorEastAsia" w:cstheme="minorEastAsia"/>
          <w:b/>
          <w:sz w:val="36"/>
          <w:szCs w:val="36"/>
        </w:rPr>
      </w:pPr>
      <w:r>
        <w:rPr>
          <w:rFonts w:hint="eastAsia" w:asciiTheme="minorEastAsia" w:hAnsiTheme="minorEastAsia" w:eastAsiaTheme="minorEastAsia" w:cstheme="minorEastAsia"/>
          <w:b/>
          <w:sz w:val="32"/>
          <w:szCs w:val="32"/>
          <w:u w:val="single"/>
          <w:lang w:val="en-US" w:eastAsia="zh-Hans"/>
        </w:rPr>
        <w:t>过氧乙酸消毒液</w:t>
      </w:r>
      <w:r>
        <w:rPr>
          <w:rFonts w:hint="eastAsia" w:asciiTheme="minorEastAsia" w:hAnsiTheme="minorEastAsia" w:eastAsiaTheme="minorEastAsia" w:cstheme="minorEastAsia"/>
          <w:b/>
          <w:sz w:val="32"/>
          <w:szCs w:val="32"/>
        </w:rPr>
        <w:t>参数技术要求</w:t>
      </w:r>
    </w:p>
    <w:tbl>
      <w:tblPr>
        <w:tblStyle w:val="4"/>
        <w:tblpPr w:leftFromText="180" w:rightFromText="180" w:vertAnchor="text" w:tblpXSpec="center" w:tblpY="324"/>
        <w:tblOverlap w:val="never"/>
        <w:tblW w:w="107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1"/>
        <w:gridCol w:w="8373"/>
        <w:gridCol w:w="911"/>
        <w:gridCol w:w="934"/>
      </w:tblGrid>
      <w:tr w14:paraId="2BD713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541" w:type="dxa"/>
            <w:noWrap w:val="0"/>
            <w:vAlign w:val="center"/>
          </w:tcPr>
          <w:p w14:paraId="6B9197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8373" w:type="dxa"/>
            <w:noWrap w:val="0"/>
            <w:vAlign w:val="center"/>
          </w:tcPr>
          <w:p w14:paraId="4B41BF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参数技术要求</w:t>
            </w:r>
          </w:p>
        </w:tc>
        <w:tc>
          <w:tcPr>
            <w:tcW w:w="911" w:type="dxa"/>
            <w:noWrap w:val="0"/>
            <w:vAlign w:val="center"/>
          </w:tcPr>
          <w:p w14:paraId="61F952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正负偏离指标</w:t>
            </w:r>
          </w:p>
        </w:tc>
        <w:tc>
          <w:tcPr>
            <w:tcW w:w="934" w:type="dxa"/>
            <w:noWrap w:val="0"/>
            <w:vAlign w:val="center"/>
          </w:tcPr>
          <w:p w14:paraId="63EFE9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备注</w:t>
            </w:r>
          </w:p>
        </w:tc>
      </w:tr>
      <w:tr w14:paraId="234D4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  <w:jc w:val="center"/>
        </w:trPr>
        <w:tc>
          <w:tcPr>
            <w:tcW w:w="541" w:type="dxa"/>
            <w:noWrap w:val="0"/>
            <w:vAlign w:val="center"/>
          </w:tcPr>
          <w:p w14:paraId="66CF46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1</w:t>
            </w:r>
          </w:p>
        </w:tc>
        <w:tc>
          <w:tcPr>
            <w:tcW w:w="8373" w:type="dxa"/>
            <w:noWrap w:val="0"/>
            <w:vAlign w:val="center"/>
          </w:tcPr>
          <w:p w14:paraId="36EB20F7">
            <w:pPr>
              <w:numPr>
                <w:ilvl w:val="0"/>
                <w:numId w:val="0"/>
              </w:numPr>
              <w:spacing w:line="360" w:lineRule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二元包装。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活化后过氧乙酸含量3.0g/L-3.5g/L。【检验报告】</w:t>
            </w:r>
          </w:p>
        </w:tc>
        <w:tc>
          <w:tcPr>
            <w:tcW w:w="911" w:type="dxa"/>
            <w:noWrap w:val="0"/>
            <w:vAlign w:val="center"/>
          </w:tcPr>
          <w:p w14:paraId="44A3D7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934" w:type="dxa"/>
            <w:noWrap w:val="0"/>
            <w:vAlign w:val="center"/>
          </w:tcPr>
          <w:p w14:paraId="035E76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6F7186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541" w:type="dxa"/>
            <w:noWrap w:val="0"/>
            <w:vAlign w:val="center"/>
          </w:tcPr>
          <w:p w14:paraId="1B35FA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2</w:t>
            </w:r>
          </w:p>
        </w:tc>
        <w:tc>
          <w:tcPr>
            <w:tcW w:w="8373" w:type="dxa"/>
            <w:noWrap w:val="0"/>
            <w:vAlign w:val="center"/>
          </w:tcPr>
          <w:p w14:paraId="49FB54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Hans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Hans"/>
              </w:rPr>
              <w:t>规格5升。</w:t>
            </w:r>
          </w:p>
        </w:tc>
        <w:tc>
          <w:tcPr>
            <w:tcW w:w="911" w:type="dxa"/>
            <w:noWrap w:val="0"/>
            <w:vAlign w:val="center"/>
          </w:tcPr>
          <w:p w14:paraId="77A87D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934" w:type="dxa"/>
            <w:noWrap w:val="0"/>
            <w:vAlign w:val="center"/>
          </w:tcPr>
          <w:p w14:paraId="54DB0E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18AEE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5" w:hRule="atLeast"/>
          <w:jc w:val="center"/>
        </w:trPr>
        <w:tc>
          <w:tcPr>
            <w:tcW w:w="541" w:type="dxa"/>
            <w:noWrap w:val="0"/>
            <w:vAlign w:val="center"/>
          </w:tcPr>
          <w:p w14:paraId="67242D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8373" w:type="dxa"/>
            <w:noWrap w:val="0"/>
            <w:vAlign w:val="center"/>
          </w:tcPr>
          <w:p w14:paraId="1F41E7C5">
            <w:pPr>
              <w:numPr>
                <w:ilvl w:val="0"/>
                <w:numId w:val="0"/>
              </w:numPr>
              <w:spacing w:line="360" w:lineRule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活化后PH值：6.0-7.0。【检验报告】金属腐蚀性试验：对不锈钢、碳钢、铝为基本无腐蚀，对铜为重度腐蚀，提供该试验结果证明。【检验报告】</w:t>
            </w:r>
          </w:p>
          <w:p w14:paraId="5E8CEA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val="en-US" w:eastAsia="zh-Hans" w:bidi="ar-SA"/>
              </w:rPr>
            </w:pPr>
          </w:p>
        </w:tc>
        <w:tc>
          <w:tcPr>
            <w:tcW w:w="911" w:type="dxa"/>
            <w:noWrap w:val="0"/>
            <w:vAlign w:val="center"/>
          </w:tcPr>
          <w:p w14:paraId="70B094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934" w:type="dxa"/>
            <w:noWrap w:val="0"/>
            <w:vAlign w:val="center"/>
          </w:tcPr>
          <w:p w14:paraId="33401D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0B7091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8" w:hRule="atLeast"/>
          <w:jc w:val="center"/>
        </w:trPr>
        <w:tc>
          <w:tcPr>
            <w:tcW w:w="541" w:type="dxa"/>
            <w:noWrap w:val="0"/>
            <w:vAlign w:val="center"/>
          </w:tcPr>
          <w:p w14:paraId="1471AB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  <w:t>4</w:t>
            </w:r>
          </w:p>
          <w:p w14:paraId="72AB72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8373" w:type="dxa"/>
            <w:noWrap w:val="0"/>
            <w:vAlign w:val="center"/>
          </w:tcPr>
          <w:p w14:paraId="148A09CF">
            <w:pPr>
              <w:numPr>
                <w:ilvl w:val="0"/>
                <w:numId w:val="0"/>
              </w:numPr>
              <w:spacing w:line="360" w:lineRule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稳定性试验：有效期≥12个月；加速试验或自然存放试验，有效成分含量下降率≤10%。有连续使用稳定性试验。（提供国家认可的第三方检验报告）【检验报告】</w:t>
            </w:r>
          </w:p>
          <w:p w14:paraId="1326E2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1" w:type="dxa"/>
            <w:noWrap w:val="0"/>
            <w:vAlign w:val="center"/>
          </w:tcPr>
          <w:p w14:paraId="0B2F23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934" w:type="dxa"/>
            <w:noWrap w:val="0"/>
            <w:vAlign w:val="center"/>
          </w:tcPr>
          <w:p w14:paraId="36F750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5197B6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541" w:type="dxa"/>
            <w:noWrap w:val="0"/>
            <w:vAlign w:val="center"/>
          </w:tcPr>
          <w:p w14:paraId="709DC2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8373" w:type="dxa"/>
            <w:noWrap w:val="0"/>
            <w:vAlign w:val="center"/>
          </w:tcPr>
          <w:p w14:paraId="2A902ADB">
            <w:pPr>
              <w:numPr>
                <w:ilvl w:val="0"/>
                <w:numId w:val="0"/>
              </w:numPr>
              <w:spacing w:line="360" w:lineRule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安全性要求：急性经口毒性试验：实际无毒或低毒LD50≥5000mg/kg；一次完整皮肤刺激试验：无刺激或轻度刺激；一项致突变试验（微核试验）：阴性。（提供国家认可的第三方检验报告）【检验报告】</w:t>
            </w:r>
          </w:p>
        </w:tc>
        <w:tc>
          <w:tcPr>
            <w:tcW w:w="911" w:type="dxa"/>
            <w:noWrap w:val="0"/>
            <w:vAlign w:val="center"/>
          </w:tcPr>
          <w:p w14:paraId="22D9C8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934" w:type="dxa"/>
            <w:noWrap w:val="0"/>
            <w:vAlign w:val="center"/>
          </w:tcPr>
          <w:p w14:paraId="1CC2C6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237BC2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541" w:type="dxa"/>
            <w:noWrap w:val="0"/>
            <w:vAlign w:val="center"/>
          </w:tcPr>
          <w:p w14:paraId="139CD4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8373" w:type="dxa"/>
            <w:noWrap w:val="0"/>
            <w:vAlign w:val="center"/>
          </w:tcPr>
          <w:p w14:paraId="3A64D9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杀灭试验：受试原液作用5min，对载体上金黄色葡萄球菌、大肠杆菌、铜绿假单胞菌、白色念珠菌、枯草杆菌黑色变种芽孢的杀灭对数值均≥3.00。【检验报告】</w:t>
            </w:r>
          </w:p>
        </w:tc>
        <w:tc>
          <w:tcPr>
            <w:tcW w:w="911" w:type="dxa"/>
            <w:noWrap w:val="0"/>
            <w:vAlign w:val="center"/>
          </w:tcPr>
          <w:p w14:paraId="33C29C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934" w:type="dxa"/>
            <w:noWrap w:val="0"/>
            <w:vAlign w:val="center"/>
          </w:tcPr>
          <w:p w14:paraId="60852A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51758B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541" w:type="dxa"/>
            <w:noWrap w:val="0"/>
            <w:vAlign w:val="center"/>
          </w:tcPr>
          <w:p w14:paraId="4FB107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8373" w:type="dxa"/>
            <w:noWrap w:val="0"/>
            <w:vAlign w:val="center"/>
          </w:tcPr>
          <w:p w14:paraId="615D9122">
            <w:pPr>
              <w:numPr>
                <w:ilvl w:val="0"/>
                <w:numId w:val="0"/>
              </w:numPr>
              <w:spacing w:line="360" w:lineRule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Hans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  <w:t>5分钟高水平消毒，内镜模拟现场消毒试验:过氧乙酸含量1000mg/L，作用5min，对枯草杆菌黑色变种芽孢的杀灭对数值均为&gt;3.00(提供第三方检测报告)。</w:t>
            </w:r>
          </w:p>
        </w:tc>
        <w:tc>
          <w:tcPr>
            <w:tcW w:w="911" w:type="dxa"/>
            <w:noWrap w:val="0"/>
            <w:vAlign w:val="center"/>
          </w:tcPr>
          <w:p w14:paraId="3C9DFE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934" w:type="dxa"/>
            <w:noWrap w:val="0"/>
            <w:vAlign w:val="center"/>
          </w:tcPr>
          <w:p w14:paraId="36B4F0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5860C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6" w:hRule="atLeast"/>
          <w:jc w:val="center"/>
        </w:trPr>
        <w:tc>
          <w:tcPr>
            <w:tcW w:w="541" w:type="dxa"/>
            <w:noWrap w:val="0"/>
            <w:vAlign w:val="center"/>
          </w:tcPr>
          <w:p w14:paraId="2431A3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8373" w:type="dxa"/>
            <w:noWrap w:val="0"/>
            <w:vAlign w:val="center"/>
          </w:tcPr>
          <w:p w14:paraId="2A1B406B">
            <w:pPr>
              <w:numPr>
                <w:ilvl w:val="0"/>
                <w:numId w:val="0"/>
              </w:numPr>
              <w:spacing w:line="360" w:lineRule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  <w:t>10分钟高水平消毒，内镜模拟现场灭菌试验:过氧乙酸含量1000mg/L，作用5min，对枯草杆菌黑色变种芽孢的灭菌试验结果均为无菌生长(提供第三方检测报告)。</w:t>
            </w:r>
          </w:p>
          <w:p w14:paraId="3AF430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val="en-US" w:eastAsia="zh-Hans" w:bidi="ar-SA"/>
              </w:rPr>
            </w:pPr>
          </w:p>
        </w:tc>
        <w:tc>
          <w:tcPr>
            <w:tcW w:w="911" w:type="dxa"/>
            <w:noWrap w:val="0"/>
            <w:vAlign w:val="center"/>
          </w:tcPr>
          <w:p w14:paraId="2F31A8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934" w:type="dxa"/>
            <w:noWrap w:val="0"/>
            <w:vAlign w:val="center"/>
          </w:tcPr>
          <w:p w14:paraId="650483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3BB92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541" w:type="dxa"/>
            <w:noWrap w:val="0"/>
            <w:vAlign w:val="center"/>
          </w:tcPr>
          <w:p w14:paraId="33E1A5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8373" w:type="dxa"/>
            <w:noWrap w:val="0"/>
            <w:vAlign w:val="center"/>
          </w:tcPr>
          <w:p w14:paraId="42997755">
            <w:pPr>
              <w:numPr>
                <w:ilvl w:val="0"/>
                <w:numId w:val="0"/>
              </w:numPr>
              <w:spacing w:line="360" w:lineRule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室温条件下，本品启用后可满足连续使用14天，过氧乙酸含量应≥1000mg/L。</w:t>
            </w:r>
          </w:p>
          <w:p w14:paraId="7ABADA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Hans"/>
              </w:rPr>
            </w:pPr>
          </w:p>
        </w:tc>
        <w:tc>
          <w:tcPr>
            <w:tcW w:w="911" w:type="dxa"/>
            <w:noWrap w:val="0"/>
            <w:vAlign w:val="center"/>
          </w:tcPr>
          <w:p w14:paraId="0E95C2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934" w:type="dxa"/>
            <w:noWrap w:val="0"/>
            <w:vAlign w:val="center"/>
          </w:tcPr>
          <w:p w14:paraId="1B92C3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</w:tbl>
    <w:p w14:paraId="478DA1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 w:asciiTheme="minorEastAsia" w:hAnsiTheme="minorEastAsia" w:eastAsiaTheme="minorEastAsia" w:cstheme="minorEastAsia"/>
        </w:rPr>
      </w:pPr>
    </w:p>
    <w:p w14:paraId="642C37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 w:asciiTheme="minorEastAsia" w:hAnsiTheme="minorEastAsia" w:eastAsiaTheme="minorEastAsia" w:cstheme="minorEastAsia"/>
        </w:rPr>
      </w:pPr>
    </w:p>
    <w:p w14:paraId="26C7968A">
      <w:pPr>
        <w:rPr>
          <w:rFonts w:hint="default"/>
          <w:color w:val="C0000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C00000"/>
          <w:sz w:val="28"/>
          <w:szCs w:val="28"/>
          <w:lang w:val="en-US" w:eastAsia="zh-CN"/>
        </w:rPr>
        <w:t>所有参数，仅供招标采购技术指导，部分条款不限于此，不具有产品指定性。走第三方集中配送。</w:t>
      </w:r>
      <w:r>
        <w:rPr>
          <w:rFonts w:hint="eastAsia"/>
          <w:color w:val="C00000"/>
          <w:sz w:val="28"/>
          <w:szCs w:val="28"/>
          <w:lang w:val="en-US" w:eastAsia="zh-CN"/>
        </w:rPr>
        <w:t xml:space="preserve">正确填写本表，对应参数响应请在产品说明书中标示或提供证明材料。        </w:t>
      </w:r>
    </w:p>
    <w:p w14:paraId="74950B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firstLine="643" w:firstLineChars="200"/>
        <w:jc w:val="center"/>
        <w:textAlignment w:val="auto"/>
        <w:rPr>
          <w:rFonts w:hint="eastAsia" w:asciiTheme="minorEastAsia" w:hAnsiTheme="minorEastAsia" w:eastAsiaTheme="minorEastAsia" w:cstheme="minorEastAsia"/>
          <w:b/>
          <w:sz w:val="32"/>
          <w:szCs w:val="32"/>
          <w:lang w:val="en-US" w:eastAsia="zh-Hans"/>
        </w:rPr>
      </w:pPr>
    </w:p>
    <w:p w14:paraId="396EF4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firstLine="643" w:firstLineChars="200"/>
        <w:jc w:val="center"/>
        <w:textAlignment w:val="auto"/>
        <w:rPr>
          <w:rFonts w:hint="eastAsia" w:asciiTheme="minorEastAsia" w:hAnsiTheme="minorEastAsia" w:eastAsiaTheme="minorEastAsia" w:cstheme="minorEastAsia"/>
          <w:b/>
          <w:sz w:val="36"/>
          <w:szCs w:val="36"/>
        </w:rPr>
      </w:pPr>
      <w:r>
        <w:rPr>
          <w:rFonts w:hint="eastAsia" w:asciiTheme="minorEastAsia" w:hAnsiTheme="minorEastAsia" w:eastAsiaTheme="minorEastAsia" w:cstheme="minorEastAsia"/>
          <w:b/>
          <w:sz w:val="32"/>
          <w:szCs w:val="32"/>
          <w:lang w:val="en-US" w:eastAsia="zh-Hans"/>
        </w:rPr>
        <w:t>医用器械消毒液</w:t>
      </w:r>
      <w:r>
        <w:rPr>
          <w:rFonts w:hint="eastAsia" w:asciiTheme="minorEastAsia" w:hAnsiTheme="minorEastAsia" w:eastAsiaTheme="minorEastAsia" w:cstheme="minorEastAsia"/>
          <w:b/>
          <w:sz w:val="32"/>
          <w:szCs w:val="32"/>
        </w:rPr>
        <w:t>参数技术要求</w:t>
      </w:r>
    </w:p>
    <w:tbl>
      <w:tblPr>
        <w:tblStyle w:val="4"/>
        <w:tblpPr w:leftFromText="180" w:rightFromText="180" w:vertAnchor="text" w:tblpXSpec="center" w:tblpY="324"/>
        <w:tblOverlap w:val="never"/>
        <w:tblW w:w="107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1"/>
        <w:gridCol w:w="8373"/>
        <w:gridCol w:w="911"/>
        <w:gridCol w:w="934"/>
      </w:tblGrid>
      <w:tr w14:paraId="06EA54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541" w:type="dxa"/>
            <w:noWrap w:val="0"/>
            <w:vAlign w:val="center"/>
          </w:tcPr>
          <w:p w14:paraId="426482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8373" w:type="dxa"/>
            <w:noWrap w:val="0"/>
            <w:vAlign w:val="center"/>
          </w:tcPr>
          <w:p w14:paraId="44408A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参数技术要求</w:t>
            </w:r>
          </w:p>
        </w:tc>
        <w:tc>
          <w:tcPr>
            <w:tcW w:w="911" w:type="dxa"/>
            <w:noWrap w:val="0"/>
            <w:vAlign w:val="center"/>
          </w:tcPr>
          <w:p w14:paraId="44A35A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正负偏离指标</w:t>
            </w:r>
          </w:p>
        </w:tc>
        <w:tc>
          <w:tcPr>
            <w:tcW w:w="934" w:type="dxa"/>
            <w:noWrap w:val="0"/>
            <w:vAlign w:val="center"/>
          </w:tcPr>
          <w:p w14:paraId="101729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备注</w:t>
            </w:r>
          </w:p>
        </w:tc>
      </w:tr>
      <w:tr w14:paraId="080B4A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541" w:type="dxa"/>
            <w:noWrap w:val="0"/>
            <w:vAlign w:val="center"/>
          </w:tcPr>
          <w:p w14:paraId="061257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1</w:t>
            </w:r>
          </w:p>
        </w:tc>
        <w:tc>
          <w:tcPr>
            <w:tcW w:w="8373" w:type="dxa"/>
            <w:noWrap w:val="0"/>
            <w:vAlign w:val="center"/>
          </w:tcPr>
          <w:p w14:paraId="3BC8ED60">
            <w:pPr>
              <w:numPr>
                <w:ilvl w:val="0"/>
                <w:numId w:val="0"/>
              </w:numPr>
              <w:spacing w:line="360" w:lineRule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Hans"/>
              </w:rPr>
              <w:t>是以次氯酸钠为主要有效成分的消毒液，有效氯含量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Hans"/>
              </w:rPr>
              <w:t>2%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Hans"/>
              </w:rPr>
              <w:t>±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Hans"/>
              </w:rPr>
              <w:t>0.2%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【检验报告】</w:t>
            </w:r>
          </w:p>
        </w:tc>
        <w:tc>
          <w:tcPr>
            <w:tcW w:w="911" w:type="dxa"/>
            <w:noWrap w:val="0"/>
            <w:vAlign w:val="center"/>
          </w:tcPr>
          <w:p w14:paraId="068AEA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934" w:type="dxa"/>
            <w:noWrap w:val="0"/>
            <w:vAlign w:val="center"/>
          </w:tcPr>
          <w:p w14:paraId="11BB01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5E3A26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541" w:type="dxa"/>
            <w:noWrap w:val="0"/>
            <w:vAlign w:val="center"/>
          </w:tcPr>
          <w:p w14:paraId="786CB3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2</w:t>
            </w:r>
          </w:p>
        </w:tc>
        <w:tc>
          <w:tcPr>
            <w:tcW w:w="8373" w:type="dxa"/>
            <w:noWrap w:val="0"/>
            <w:vAlign w:val="center"/>
          </w:tcPr>
          <w:p w14:paraId="4EC353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Hans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Hans"/>
              </w:rPr>
              <w:t>规格</w:t>
            </w: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Hans"/>
              </w:rPr>
              <w:t>升。</w:t>
            </w:r>
          </w:p>
        </w:tc>
        <w:tc>
          <w:tcPr>
            <w:tcW w:w="911" w:type="dxa"/>
            <w:noWrap w:val="0"/>
            <w:vAlign w:val="center"/>
          </w:tcPr>
          <w:p w14:paraId="4B6999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934" w:type="dxa"/>
            <w:noWrap w:val="0"/>
            <w:vAlign w:val="center"/>
          </w:tcPr>
          <w:p w14:paraId="709B20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10C4C7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  <w:jc w:val="center"/>
        </w:trPr>
        <w:tc>
          <w:tcPr>
            <w:tcW w:w="541" w:type="dxa"/>
            <w:noWrap w:val="0"/>
            <w:vAlign w:val="center"/>
          </w:tcPr>
          <w:p w14:paraId="36659D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8373" w:type="dxa"/>
            <w:noWrap w:val="0"/>
            <w:vAlign w:val="center"/>
          </w:tcPr>
          <w:p w14:paraId="392D5C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Hans"/>
              </w:rPr>
              <w:t>产品性能：可杀灭肠道致病菌、致病性酵母菌和细菌芽孢，并可灭火消毒。可用于各种医疗器械、内窥镜、透析机等的消毒、灭菌。</w:t>
            </w:r>
          </w:p>
        </w:tc>
        <w:tc>
          <w:tcPr>
            <w:tcW w:w="911" w:type="dxa"/>
            <w:noWrap w:val="0"/>
            <w:vAlign w:val="center"/>
          </w:tcPr>
          <w:p w14:paraId="2D508F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934" w:type="dxa"/>
            <w:noWrap w:val="0"/>
            <w:vAlign w:val="center"/>
          </w:tcPr>
          <w:p w14:paraId="7EBF14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18CBDB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6" w:hRule="atLeast"/>
          <w:jc w:val="center"/>
        </w:trPr>
        <w:tc>
          <w:tcPr>
            <w:tcW w:w="541" w:type="dxa"/>
            <w:noWrap w:val="0"/>
            <w:vAlign w:val="center"/>
          </w:tcPr>
          <w:p w14:paraId="2F67FA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  <w:t>4</w:t>
            </w:r>
          </w:p>
          <w:p w14:paraId="465214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8373" w:type="dxa"/>
            <w:noWrap w:val="0"/>
            <w:vAlign w:val="center"/>
          </w:tcPr>
          <w:p w14:paraId="3089DA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用于内窥镜消毒：用本液1份加纯化水4份（4000mg/L），浸泡5分钟。</w:t>
            </w:r>
          </w:p>
          <w:p w14:paraId="17B386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用于内窥镜灭菌：用本液1份加纯化水4份（4000mg/L），浸泡40分钟。</w:t>
            </w:r>
          </w:p>
          <w:p w14:paraId="370ECE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用于金属、非金属器械和其他物品灭菌：用本液1份加纯化水4份（4000mg/L），浸泡40分钟。</w:t>
            </w:r>
          </w:p>
          <w:p w14:paraId="544EEA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用于金属、非金属器械的消毒：用本液1份加纯化水10份（2000mg/L），浸泡10分钟。</w:t>
            </w:r>
          </w:p>
          <w:p w14:paraId="01A2DA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用于牙科手机头消毒：用本液1份加纯化水10份（2000mg/L），浸泡10分钟。</w:t>
            </w:r>
          </w:p>
        </w:tc>
        <w:tc>
          <w:tcPr>
            <w:tcW w:w="911" w:type="dxa"/>
            <w:noWrap w:val="0"/>
            <w:vAlign w:val="center"/>
          </w:tcPr>
          <w:p w14:paraId="791EA6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934" w:type="dxa"/>
            <w:noWrap w:val="0"/>
            <w:vAlign w:val="center"/>
          </w:tcPr>
          <w:p w14:paraId="38F5DE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664BEB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541" w:type="dxa"/>
            <w:noWrap w:val="0"/>
            <w:vAlign w:val="center"/>
          </w:tcPr>
          <w:p w14:paraId="463D92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8373" w:type="dxa"/>
            <w:noWrap w:val="0"/>
            <w:vAlign w:val="center"/>
          </w:tcPr>
          <w:p w14:paraId="1912FA8A">
            <w:pPr>
              <w:numPr>
                <w:ilvl w:val="0"/>
                <w:numId w:val="0"/>
              </w:numPr>
              <w:spacing w:line="360" w:lineRule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用测定试纸检测有效氯含量，浓度不低于最低浓度可继续使用，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4"/>
                <w:szCs w:val="24"/>
                <w:lang w:val="en-US" w:eastAsia="zh-Hans"/>
              </w:rPr>
              <w:t>可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连续使用7天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val="en-US" w:eastAsia="zh-Hans" w:bidi="ar-SA"/>
              </w:rPr>
              <w:t>（提供第三方检测报告）</w:t>
            </w:r>
          </w:p>
        </w:tc>
        <w:tc>
          <w:tcPr>
            <w:tcW w:w="911" w:type="dxa"/>
            <w:noWrap w:val="0"/>
            <w:vAlign w:val="center"/>
          </w:tcPr>
          <w:p w14:paraId="2D81E8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934" w:type="dxa"/>
            <w:noWrap w:val="0"/>
            <w:vAlign w:val="center"/>
          </w:tcPr>
          <w:p w14:paraId="3611D4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22CCDF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  <w:jc w:val="center"/>
        </w:trPr>
        <w:tc>
          <w:tcPr>
            <w:tcW w:w="541" w:type="dxa"/>
            <w:noWrap w:val="0"/>
            <w:vAlign w:val="center"/>
          </w:tcPr>
          <w:p w14:paraId="41C36C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8373" w:type="dxa"/>
            <w:noWrap w:val="0"/>
            <w:vAlign w:val="center"/>
          </w:tcPr>
          <w:p w14:paraId="3FC1BF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val="en-US" w:eastAsia="zh-Hans" w:bidi="ar-SA"/>
              </w:rPr>
              <w:t>对不锈钢基本无腐蚀，对碳钢、铜、铝轻度腐蚀，（提供第三方检测报告）</w:t>
            </w:r>
          </w:p>
        </w:tc>
        <w:tc>
          <w:tcPr>
            <w:tcW w:w="911" w:type="dxa"/>
            <w:noWrap w:val="0"/>
            <w:vAlign w:val="center"/>
          </w:tcPr>
          <w:p w14:paraId="10977D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934" w:type="dxa"/>
            <w:noWrap w:val="0"/>
            <w:vAlign w:val="center"/>
          </w:tcPr>
          <w:p w14:paraId="15F452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689CDE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0" w:hRule="atLeast"/>
          <w:jc w:val="center"/>
        </w:trPr>
        <w:tc>
          <w:tcPr>
            <w:tcW w:w="541" w:type="dxa"/>
            <w:noWrap w:val="0"/>
            <w:vAlign w:val="center"/>
          </w:tcPr>
          <w:p w14:paraId="303CB6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Theme="minorEastAsia" w:hAnsiTheme="minorEastAsia" w:cstheme="minorEastAsia"/>
                <w:color w:val="auto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8373" w:type="dxa"/>
            <w:noWrap w:val="0"/>
            <w:vAlign w:val="center"/>
          </w:tcPr>
          <w:p w14:paraId="6A4073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val="en-US" w:eastAsia="zh-Hans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val="en-US" w:eastAsia="zh-Hans"/>
              </w:rPr>
              <w:t>稳定性：经37℃存放90天的有效氯含量为2.21%(wv)，稳定性前的有效含量为2.38%(wv)，下降率为7.1%，具有2年稳定性</w:t>
            </w:r>
          </w:p>
          <w:p w14:paraId="6D3100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val="en-US" w:eastAsia="zh-Hans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val="en-US" w:eastAsia="zh-Hans"/>
              </w:rPr>
              <w:t>（提供第三方检测报告）</w:t>
            </w:r>
          </w:p>
        </w:tc>
        <w:tc>
          <w:tcPr>
            <w:tcW w:w="911" w:type="dxa"/>
            <w:noWrap w:val="0"/>
            <w:vAlign w:val="center"/>
          </w:tcPr>
          <w:p w14:paraId="04ADBD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934" w:type="dxa"/>
            <w:noWrap w:val="0"/>
            <w:vAlign w:val="center"/>
          </w:tcPr>
          <w:p w14:paraId="6F9BCA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7E472F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541" w:type="dxa"/>
            <w:noWrap w:val="0"/>
            <w:vAlign w:val="center"/>
          </w:tcPr>
          <w:p w14:paraId="5B727C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Theme="minorEastAsia" w:hAnsiTheme="minorEastAsia" w:cstheme="minorEastAsia"/>
                <w:color w:val="auto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8373" w:type="dxa"/>
            <w:noWrap w:val="0"/>
            <w:vAlign w:val="center"/>
          </w:tcPr>
          <w:p w14:paraId="1D385F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val="en-US" w:eastAsia="zh-Hans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val="en-US" w:eastAsia="zh-Hans"/>
              </w:rPr>
              <w:t>安全性：急性经口毒性属无毒，对家兔皮肤刺激属轻刺激，小鼠骨髓细胞染色体未呈现致微核作用，属致突变阴性（提供第三方检测报告）</w:t>
            </w:r>
          </w:p>
        </w:tc>
        <w:tc>
          <w:tcPr>
            <w:tcW w:w="911" w:type="dxa"/>
            <w:noWrap w:val="0"/>
            <w:vAlign w:val="center"/>
          </w:tcPr>
          <w:p w14:paraId="158EBA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934" w:type="dxa"/>
            <w:noWrap w:val="0"/>
            <w:vAlign w:val="center"/>
          </w:tcPr>
          <w:p w14:paraId="69D316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</w:tbl>
    <w:p w14:paraId="1D2DC1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 w:asciiTheme="minorEastAsia" w:hAnsiTheme="minorEastAsia" w:eastAsiaTheme="minorEastAsia" w:cstheme="minorEastAsia"/>
        </w:rPr>
      </w:pPr>
    </w:p>
    <w:p w14:paraId="0E6527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 w:asciiTheme="minorEastAsia" w:hAnsiTheme="minorEastAsia" w:eastAsiaTheme="minorEastAsia" w:cstheme="minorEastAsia"/>
        </w:rPr>
      </w:pPr>
    </w:p>
    <w:p w14:paraId="0BC9668E">
      <w:pPr>
        <w:rPr>
          <w:rFonts w:hint="default"/>
          <w:color w:val="C0000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C00000"/>
          <w:sz w:val="28"/>
          <w:szCs w:val="28"/>
          <w:lang w:val="en-US" w:eastAsia="zh-CN"/>
        </w:rPr>
        <w:t>所有参数，仅供招标采购技术指导，部分条款不限于此，不具有产品指定性。走第三方集中配送。</w:t>
      </w:r>
      <w:r>
        <w:rPr>
          <w:rFonts w:hint="eastAsia"/>
          <w:color w:val="C00000"/>
          <w:sz w:val="28"/>
          <w:szCs w:val="28"/>
          <w:lang w:val="en-US" w:eastAsia="zh-CN"/>
        </w:rPr>
        <w:t xml:space="preserve">正确填写本表，对应参数响应请在产品说明书中标示或提供证明材料。        </w:t>
      </w:r>
    </w:p>
    <w:p w14:paraId="6F1E4370">
      <w:pPr>
        <w:rPr>
          <w:rFonts w:hint="eastAsia" w:asciiTheme="minorEastAsia" w:hAnsiTheme="minorEastAsia" w:eastAsiaTheme="minorEastAsia" w:cstheme="minorEastAsia"/>
          <w:color w:val="C00000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color w:val="C00000"/>
          <w:sz w:val="28"/>
          <w:szCs w:val="28"/>
          <w:lang w:val="en-US" w:eastAsia="zh-CN"/>
        </w:rPr>
        <w:t xml:space="preserve">       </w:t>
      </w:r>
    </w:p>
    <w:sectPr>
      <w:pgSz w:w="11906" w:h="16838"/>
      <w:pgMar w:top="1270" w:right="1293" w:bottom="1270" w:left="129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U5ZGVmMzhlYjFjZDNmZTE4MWY5MWRmZWVkZWYxMzYifQ=="/>
  </w:docVars>
  <w:rsids>
    <w:rsidRoot w:val="056A3C41"/>
    <w:rsid w:val="0304067F"/>
    <w:rsid w:val="03D34F6D"/>
    <w:rsid w:val="04F15130"/>
    <w:rsid w:val="05555A51"/>
    <w:rsid w:val="056A3C41"/>
    <w:rsid w:val="14483D96"/>
    <w:rsid w:val="15E6759D"/>
    <w:rsid w:val="180C27CE"/>
    <w:rsid w:val="19820FF2"/>
    <w:rsid w:val="1D1012D8"/>
    <w:rsid w:val="216B0C7F"/>
    <w:rsid w:val="22A57183"/>
    <w:rsid w:val="247B32EF"/>
    <w:rsid w:val="26D596C8"/>
    <w:rsid w:val="2724059D"/>
    <w:rsid w:val="2C4A3B21"/>
    <w:rsid w:val="2F666452"/>
    <w:rsid w:val="33C31EDC"/>
    <w:rsid w:val="35DC660B"/>
    <w:rsid w:val="360008E9"/>
    <w:rsid w:val="361A4A7B"/>
    <w:rsid w:val="3655E191"/>
    <w:rsid w:val="3692227A"/>
    <w:rsid w:val="37FD7FA9"/>
    <w:rsid w:val="38211B9D"/>
    <w:rsid w:val="39E80A65"/>
    <w:rsid w:val="3A77A9F9"/>
    <w:rsid w:val="3B471779"/>
    <w:rsid w:val="3E77D1A7"/>
    <w:rsid w:val="3ED50CA5"/>
    <w:rsid w:val="3FFD7F43"/>
    <w:rsid w:val="40186E05"/>
    <w:rsid w:val="423B7645"/>
    <w:rsid w:val="4BDD3FF6"/>
    <w:rsid w:val="56BFDC07"/>
    <w:rsid w:val="56CD124E"/>
    <w:rsid w:val="5866674F"/>
    <w:rsid w:val="586B51E9"/>
    <w:rsid w:val="5A252C23"/>
    <w:rsid w:val="63230774"/>
    <w:rsid w:val="64CC2446"/>
    <w:rsid w:val="65C53F73"/>
    <w:rsid w:val="65FFEBAF"/>
    <w:rsid w:val="667167B1"/>
    <w:rsid w:val="6DEEEAFC"/>
    <w:rsid w:val="6E223E59"/>
    <w:rsid w:val="70BD2481"/>
    <w:rsid w:val="713B58C8"/>
    <w:rsid w:val="73C73DB1"/>
    <w:rsid w:val="7657E623"/>
    <w:rsid w:val="779B2C34"/>
    <w:rsid w:val="77F536A4"/>
    <w:rsid w:val="77FACF89"/>
    <w:rsid w:val="79D756B5"/>
    <w:rsid w:val="79FFF4CB"/>
    <w:rsid w:val="7CD32BDB"/>
    <w:rsid w:val="7D7F6CFD"/>
    <w:rsid w:val="7DEFB07D"/>
    <w:rsid w:val="7DFA789C"/>
    <w:rsid w:val="7EFF4631"/>
    <w:rsid w:val="7F2CFE83"/>
    <w:rsid w:val="7FAEF83B"/>
    <w:rsid w:val="7FEF3C03"/>
    <w:rsid w:val="7FFFFE38"/>
    <w:rsid w:val="AEBDFD67"/>
    <w:rsid w:val="AFBE0F3A"/>
    <w:rsid w:val="BAFBF985"/>
    <w:rsid w:val="BBBFF03E"/>
    <w:rsid w:val="BCF91372"/>
    <w:rsid w:val="D7D47418"/>
    <w:rsid w:val="DB7F941B"/>
    <w:rsid w:val="DBBAE963"/>
    <w:rsid w:val="DD9540BB"/>
    <w:rsid w:val="DDEED2E9"/>
    <w:rsid w:val="DF7F0BF0"/>
    <w:rsid w:val="DFFFC77C"/>
    <w:rsid w:val="DFFFD76A"/>
    <w:rsid w:val="E5FF6B8C"/>
    <w:rsid w:val="E6CF40B7"/>
    <w:rsid w:val="ED7DC5A8"/>
    <w:rsid w:val="EF7C127C"/>
    <w:rsid w:val="EF7D1065"/>
    <w:rsid w:val="EF7EE8B4"/>
    <w:rsid w:val="F3B7A048"/>
    <w:rsid w:val="F9F70EB2"/>
    <w:rsid w:val="FADF8273"/>
    <w:rsid w:val="FC7F689A"/>
    <w:rsid w:val="FCDF7048"/>
    <w:rsid w:val="FD1F9D4C"/>
    <w:rsid w:val="FF1F7D52"/>
    <w:rsid w:val="FF5E5A36"/>
    <w:rsid w:val="FFCE1833"/>
    <w:rsid w:val="FFF7D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a heading"/>
    <w:basedOn w:val="1"/>
    <w:next w:val="1"/>
    <w:qFormat/>
    <w:uiPriority w:val="0"/>
    <w:rPr>
      <w:rFonts w:ascii="Arial" w:hAnsi="Arial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2171</Words>
  <Characters>2399</Characters>
  <Lines>0</Lines>
  <Paragraphs>0</Paragraphs>
  <TotalTime>0</TotalTime>
  <ScaleCrop>false</ScaleCrop>
  <LinksUpToDate>false</LinksUpToDate>
  <CharactersWithSpaces>2436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2023-03-26T10:02:00Z</dcterms:created>
  <dc:creator>Administrator</dc:creator>
  <cp:lastModifiedBy>味道</cp:lastModifiedBy>
  <dcterms:modified xsi:type="dcterms:W3CDTF">2025-09-18T08:51:35Z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91510BADA7004713A567F96A85FD596B_13</vt:lpwstr>
  </property>
  <property fmtid="{D5CDD505-2E9C-101B-9397-08002B2CF9AE}" pid="4" name="KSOTemplateDocerSaveRecord">
    <vt:lpwstr>eyJoZGlkIjoiZTc0NDg2YzNlMTQ1NjE4YjA5ZjhjNTc1NmZlOGY1OGUiLCJ1c2VySWQiOiIzNjk3MjE2NDMifQ==</vt:lpwstr>
  </property>
</Properties>
</file>