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C6876">
      <w:pPr>
        <w:numPr>
          <w:ilvl w:val="0"/>
          <w:numId w:val="0"/>
        </w:numPr>
        <w:spacing w:line="440" w:lineRule="exact"/>
        <w:ind w:firstLine="320" w:firstLineChars="100"/>
        <w:jc w:val="center"/>
        <w:rPr>
          <w:rFonts w:hint="eastAsia" w:ascii="宋体" w:hAnsi="宋体" w:eastAsia="宋体" w:cs="宋体"/>
          <w:b w:val="0"/>
          <w:bCs w:val="0"/>
          <w:color w:val="000000"/>
          <w:sz w:val="32"/>
          <w:szCs w:val="32"/>
          <w:u w:val="none"/>
          <w:lang w:eastAsia="zh-CN"/>
        </w:rPr>
      </w:pPr>
      <w:r>
        <w:rPr>
          <w:rFonts w:hint="eastAsia" w:ascii="宋体" w:hAnsi="宋体" w:cs="宋体"/>
          <w:sz w:val="32"/>
          <w:szCs w:val="32"/>
          <w:u w:val="single"/>
          <w:lang w:val="en-US" w:eastAsia="zh-CN"/>
        </w:rPr>
        <w:t>一次性滑移垫</w:t>
      </w:r>
      <w:r>
        <w:rPr>
          <w:rFonts w:hint="eastAsia" w:ascii="宋体" w:hAnsi="宋体" w:cs="宋体"/>
          <w:sz w:val="32"/>
          <w:szCs w:val="32"/>
          <w:u w:val="none"/>
          <w:lang w:val="en-US" w:eastAsia="zh-CN"/>
        </w:rPr>
        <w:t>技术参数</w:t>
      </w:r>
    </w:p>
    <w:tbl>
      <w:tblPr>
        <w:tblStyle w:val="5"/>
        <w:tblpPr w:leftFromText="180" w:rightFromText="180" w:vertAnchor="text" w:tblpX="-364" w:tblpY="324"/>
        <w:tblOverlap w:val="never"/>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6354"/>
        <w:gridCol w:w="1824"/>
        <w:gridCol w:w="990"/>
      </w:tblGrid>
      <w:tr w14:paraId="7456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2E547739">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序号</w:t>
            </w:r>
          </w:p>
        </w:tc>
        <w:tc>
          <w:tcPr>
            <w:tcW w:w="6354" w:type="dxa"/>
            <w:noWrap w:val="0"/>
            <w:vAlign w:val="center"/>
          </w:tcPr>
          <w:p w14:paraId="494A8312">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参数技术要求</w:t>
            </w:r>
          </w:p>
        </w:tc>
        <w:tc>
          <w:tcPr>
            <w:tcW w:w="1824" w:type="dxa"/>
            <w:noWrap w:val="0"/>
            <w:vAlign w:val="center"/>
          </w:tcPr>
          <w:p w14:paraId="3BFD4446">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正负偏离指标</w:t>
            </w:r>
          </w:p>
        </w:tc>
        <w:tc>
          <w:tcPr>
            <w:tcW w:w="990" w:type="dxa"/>
            <w:noWrap w:val="0"/>
            <w:vAlign w:val="center"/>
          </w:tcPr>
          <w:p w14:paraId="12F3F678">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备注</w:t>
            </w:r>
          </w:p>
        </w:tc>
      </w:tr>
      <w:tr w14:paraId="1A5D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 w:type="dxa"/>
            <w:noWrap w:val="0"/>
            <w:vAlign w:val="center"/>
          </w:tcPr>
          <w:p w14:paraId="1784166E">
            <w:pPr>
              <w:widowControl/>
              <w:spacing w:line="440" w:lineRule="exact"/>
              <w:jc w:val="center"/>
              <w:textAlignment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w:t>
            </w:r>
          </w:p>
        </w:tc>
        <w:tc>
          <w:tcPr>
            <w:tcW w:w="6354" w:type="dxa"/>
            <w:noWrap w:val="0"/>
            <w:vAlign w:val="center"/>
          </w:tcPr>
          <w:p w14:paraId="332F0430">
            <w:pPr>
              <w:widowControl/>
              <w:spacing w:line="360" w:lineRule="auto"/>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使用于手术室运送移动患者。</w:t>
            </w:r>
          </w:p>
        </w:tc>
        <w:tc>
          <w:tcPr>
            <w:tcW w:w="1824" w:type="dxa"/>
            <w:noWrap w:val="0"/>
            <w:vAlign w:val="top"/>
          </w:tcPr>
          <w:p w14:paraId="249B44A9">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55981812">
            <w:pPr>
              <w:widowControl/>
              <w:spacing w:line="440" w:lineRule="exact"/>
              <w:jc w:val="left"/>
              <w:textAlignment w:val="center"/>
              <w:rPr>
                <w:rFonts w:hint="eastAsia" w:ascii="仿宋" w:hAnsi="仿宋" w:eastAsia="仿宋" w:cs="仿宋"/>
                <w:sz w:val="28"/>
                <w:szCs w:val="28"/>
                <w:lang w:val="en-US" w:eastAsia="zh-CN"/>
              </w:rPr>
            </w:pPr>
          </w:p>
        </w:tc>
      </w:tr>
      <w:tr w14:paraId="58BF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942" w:type="dxa"/>
            <w:noWrap w:val="0"/>
            <w:vAlign w:val="center"/>
          </w:tcPr>
          <w:p w14:paraId="4819323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w:t>
            </w:r>
          </w:p>
        </w:tc>
        <w:tc>
          <w:tcPr>
            <w:tcW w:w="6354" w:type="dxa"/>
            <w:noWrap w:val="0"/>
            <w:vAlign w:val="top"/>
          </w:tcPr>
          <w:p w14:paraId="6B0E69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组成</w:t>
            </w:r>
            <w:r>
              <w:rPr>
                <w:rFonts w:hint="eastAsia" w:ascii="仿宋" w:hAnsi="仿宋" w:eastAsia="仿宋" w:cs="仿宋"/>
                <w:kern w:val="2"/>
                <w:sz w:val="28"/>
                <w:szCs w:val="28"/>
                <w:lang w:val="en-US" w:eastAsia="zh-CN" w:bidi="ar-SA"/>
              </w:rPr>
              <w:t>:主体材料为高分子聚乙烯（HDPE/LDPE）薄膜或超高分子量聚乙烯（UHMWPE）涂层与无纺布复合。核心特点是表面摩擦系数极低，光滑耐用。</w:t>
            </w:r>
            <w:r>
              <w:rPr>
                <w:rFonts w:hint="eastAsia" w:ascii="仿宋" w:hAnsi="仿宋" w:eastAsia="仿宋" w:cs="仿宋"/>
                <w:b/>
                <w:bCs/>
                <w:kern w:val="2"/>
                <w:sz w:val="28"/>
                <w:szCs w:val="28"/>
                <w:lang w:val="en-US" w:eastAsia="zh-CN" w:bidi="ar-SA"/>
              </w:rPr>
              <w:t>生物相容性</w:t>
            </w:r>
            <w:r>
              <w:rPr>
                <w:rFonts w:hint="eastAsia" w:ascii="仿宋" w:hAnsi="仿宋" w:eastAsia="仿宋" w:cs="仿宋"/>
                <w:kern w:val="2"/>
                <w:sz w:val="28"/>
                <w:szCs w:val="28"/>
                <w:lang w:val="en-US" w:eastAsia="zh-CN" w:bidi="ar-SA"/>
              </w:rPr>
              <w:t>：所有与患者接触的材料均需通过ISO 10993系列标准认证，确保无细胞毒性、无皮肤致敏性、无刺激反应。</w:t>
            </w:r>
          </w:p>
        </w:tc>
        <w:tc>
          <w:tcPr>
            <w:tcW w:w="1824" w:type="dxa"/>
            <w:noWrap w:val="0"/>
            <w:vAlign w:val="top"/>
          </w:tcPr>
          <w:p w14:paraId="4B571B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63AC5C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p>
        </w:tc>
      </w:tr>
      <w:tr w14:paraId="3017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942" w:type="dxa"/>
            <w:noWrap w:val="0"/>
            <w:vAlign w:val="center"/>
          </w:tcPr>
          <w:p w14:paraId="7011FD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3</w:t>
            </w:r>
          </w:p>
        </w:tc>
        <w:tc>
          <w:tcPr>
            <w:tcW w:w="6354" w:type="dxa"/>
            <w:noWrap w:val="0"/>
            <w:vAlign w:val="top"/>
          </w:tcPr>
          <w:p w14:paraId="26C86E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组成：1、医用转移垫80</w:t>
            </w:r>
            <w:r>
              <w:rPr>
                <w:rFonts w:hint="default" w:ascii="Arial" w:hAnsi="Arial" w:eastAsia="仿宋" w:cs="Arial"/>
                <w:sz w:val="28"/>
                <w:szCs w:val="28"/>
                <w:lang w:val="en-US" w:eastAsia="zh-CN"/>
              </w:rPr>
              <w:t>×</w:t>
            </w:r>
            <w:r>
              <w:rPr>
                <w:rFonts w:hint="eastAsia" w:ascii="仿宋" w:hAnsi="仿宋" w:eastAsia="仿宋" w:cs="仿宋"/>
                <w:sz w:val="28"/>
                <w:szCs w:val="28"/>
                <w:lang w:val="en-US" w:eastAsia="zh-CN"/>
              </w:rPr>
              <w:t>200cm(带防水层)一个。</w:t>
            </w:r>
          </w:p>
          <w:p w14:paraId="5EB8F59E">
            <w:pPr>
              <w:keepNext w:val="0"/>
              <w:keepLines w:val="0"/>
              <w:pageBreakBefore w:val="0"/>
              <w:widowControl/>
              <w:numPr>
                <w:ilvl w:val="0"/>
                <w:numId w:val="1"/>
              </w:numPr>
              <w:kinsoku/>
              <w:wordWrap/>
              <w:overflowPunct/>
              <w:topLinePunct w:val="0"/>
              <w:autoSpaceDE/>
              <w:autoSpaceDN/>
              <w:bidi w:val="0"/>
              <w:adjustRightInd/>
              <w:snapToGrid/>
              <w:spacing w:line="360" w:lineRule="exact"/>
              <w:ind w:left="840" w:leftChars="0" w:firstLine="0" w:firstLineChars="0"/>
              <w:jc w:val="left"/>
              <w:textAlignment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床罩120cm</w:t>
            </w:r>
            <w:r>
              <w:rPr>
                <w:rFonts w:hint="default" w:ascii="Arial" w:hAnsi="Arial" w:eastAsia="仿宋" w:cs="Arial"/>
                <w:sz w:val="28"/>
                <w:szCs w:val="28"/>
                <w:lang w:val="en-US" w:eastAsia="zh-CN"/>
              </w:rPr>
              <w:t>×</w:t>
            </w:r>
            <w:r>
              <w:rPr>
                <w:rFonts w:hint="eastAsia" w:ascii="仿宋" w:hAnsi="仿宋" w:eastAsia="仿宋" w:cs="仿宋"/>
                <w:sz w:val="28"/>
                <w:szCs w:val="28"/>
                <w:lang w:val="en-US" w:eastAsia="zh-CN"/>
              </w:rPr>
              <w:t>220cm四个角带收口一个。</w:t>
            </w:r>
          </w:p>
          <w:p w14:paraId="312B68B3">
            <w:pPr>
              <w:keepNext w:val="0"/>
              <w:keepLines w:val="0"/>
              <w:pageBreakBefore w:val="0"/>
              <w:widowControl/>
              <w:numPr>
                <w:ilvl w:val="0"/>
                <w:numId w:val="1"/>
              </w:numPr>
              <w:kinsoku/>
              <w:wordWrap/>
              <w:overflowPunct/>
              <w:topLinePunct w:val="0"/>
              <w:autoSpaceDE/>
              <w:autoSpaceDN/>
              <w:bidi w:val="0"/>
              <w:adjustRightInd/>
              <w:snapToGrid/>
              <w:spacing w:line="360" w:lineRule="exact"/>
              <w:ind w:left="840" w:leftChars="0" w:firstLine="0" w:firstLineChars="0"/>
              <w:jc w:val="left"/>
              <w:textAlignment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吸水垫（垫巾吸水层要求高分子棉的）80</w:t>
            </w:r>
            <w:r>
              <w:rPr>
                <w:rFonts w:hint="default" w:ascii="Arial" w:hAnsi="Arial" w:eastAsia="仿宋" w:cs="Arial"/>
                <w:sz w:val="28"/>
                <w:szCs w:val="28"/>
                <w:lang w:val="en-US" w:eastAsia="zh-CN"/>
              </w:rPr>
              <w:t>×</w:t>
            </w:r>
            <w:r>
              <w:rPr>
                <w:rFonts w:hint="eastAsia" w:ascii="仿宋" w:hAnsi="仿宋" w:eastAsia="仿宋" w:cs="仿宋"/>
                <w:sz w:val="28"/>
                <w:szCs w:val="28"/>
                <w:lang w:val="en-US" w:eastAsia="zh-CN"/>
              </w:rPr>
              <w:t>200cm一个，80</w:t>
            </w:r>
            <w:r>
              <w:rPr>
                <w:rFonts w:hint="default" w:ascii="Arial" w:hAnsi="Arial" w:eastAsia="仿宋" w:cs="Arial"/>
                <w:sz w:val="28"/>
                <w:szCs w:val="28"/>
                <w:lang w:val="en-US" w:eastAsia="zh-CN"/>
              </w:rPr>
              <w:t>×</w:t>
            </w:r>
            <w:r>
              <w:rPr>
                <w:rFonts w:hint="eastAsia" w:ascii="仿宋" w:hAnsi="仿宋" w:eastAsia="仿宋" w:cs="仿宋"/>
                <w:sz w:val="28"/>
                <w:szCs w:val="28"/>
                <w:lang w:val="en-US" w:eastAsia="zh-CN"/>
              </w:rPr>
              <w:t>150cm一个，60</w:t>
            </w:r>
            <w:r>
              <w:rPr>
                <w:rFonts w:hint="default" w:ascii="Arial" w:hAnsi="Arial" w:eastAsia="仿宋" w:cs="Arial"/>
                <w:sz w:val="28"/>
                <w:szCs w:val="28"/>
                <w:lang w:val="en-US" w:eastAsia="zh-CN"/>
              </w:rPr>
              <w:t>×</w:t>
            </w:r>
            <w:r>
              <w:rPr>
                <w:rFonts w:hint="eastAsia" w:ascii="仿宋" w:hAnsi="仿宋" w:eastAsia="仿宋" w:cs="仿宋"/>
                <w:sz w:val="28"/>
                <w:szCs w:val="28"/>
                <w:lang w:val="en-US" w:eastAsia="zh-CN"/>
              </w:rPr>
              <w:t>90cm一个。</w:t>
            </w:r>
          </w:p>
          <w:p w14:paraId="0582F400">
            <w:pPr>
              <w:keepNext w:val="0"/>
              <w:keepLines w:val="0"/>
              <w:pageBreakBefore w:val="0"/>
              <w:widowControl/>
              <w:numPr>
                <w:ilvl w:val="0"/>
                <w:numId w:val="1"/>
              </w:numPr>
              <w:kinsoku/>
              <w:wordWrap/>
              <w:overflowPunct/>
              <w:topLinePunct w:val="0"/>
              <w:autoSpaceDE/>
              <w:autoSpaceDN/>
              <w:bidi w:val="0"/>
              <w:adjustRightInd/>
              <w:snapToGrid/>
              <w:spacing w:line="360" w:lineRule="exact"/>
              <w:ind w:left="840" w:leftChars="0" w:firstLine="0" w:firstLineChars="0"/>
              <w:jc w:val="left"/>
              <w:textAlignment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中单80</w:t>
            </w:r>
            <w:r>
              <w:rPr>
                <w:rFonts w:hint="default" w:ascii="Arial" w:hAnsi="Arial" w:eastAsia="仿宋" w:cs="Arial"/>
                <w:sz w:val="28"/>
                <w:szCs w:val="28"/>
                <w:lang w:val="en-US" w:eastAsia="zh-CN"/>
              </w:rPr>
              <w:t>×</w:t>
            </w:r>
            <w:r>
              <w:rPr>
                <w:rFonts w:hint="eastAsia" w:ascii="仿宋" w:hAnsi="仿宋" w:eastAsia="仿宋" w:cs="仿宋"/>
                <w:sz w:val="28"/>
                <w:szCs w:val="28"/>
                <w:lang w:val="en-US" w:eastAsia="zh-CN"/>
              </w:rPr>
              <w:t>150cm一个。</w:t>
            </w:r>
          </w:p>
        </w:tc>
        <w:tc>
          <w:tcPr>
            <w:tcW w:w="1824" w:type="dxa"/>
            <w:noWrap w:val="0"/>
            <w:vAlign w:val="top"/>
          </w:tcPr>
          <w:p w14:paraId="551C85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34E0C8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p>
        </w:tc>
      </w:tr>
      <w:tr w14:paraId="787B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 w:type="dxa"/>
            <w:noWrap w:val="0"/>
            <w:vAlign w:val="center"/>
          </w:tcPr>
          <w:p w14:paraId="05CDF58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w:t>
            </w:r>
          </w:p>
        </w:tc>
        <w:tc>
          <w:tcPr>
            <w:tcW w:w="6354" w:type="dxa"/>
            <w:noWrap w:val="0"/>
            <w:vAlign w:val="top"/>
          </w:tcPr>
          <w:p w14:paraId="7170C1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承重能力：静态承重通常 ≥ 200kg。动态承重（转移时）：应明确标注安全操作重量，一般与静态承重相当。</w:t>
            </w:r>
          </w:p>
          <w:p w14:paraId="27E700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拉伸强度：纵向和横向的拉伸强度应足够高，以防止在转移过程中撕裂。通常要求 ≥ 60N/cm。 </w:t>
            </w:r>
          </w:p>
          <w:p w14:paraId="5C90DB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手柄强度：手提带或手柄孔的撕裂强度是关键指标，必须能承受转移时的巨大拉力，通常要求 ≥ 200N。</w:t>
            </w:r>
          </w:p>
          <w:p w14:paraId="57054F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抗静电性：在手术室环境中，部分产品会进行抗静电处理，以降低静电火花风险</w:t>
            </w:r>
          </w:p>
          <w:p w14:paraId="5CC9B5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防水/隔菌屏障：主体薄膜层具有良好的防水性和液体阻隔性，能有效防止交叉感染。 </w:t>
            </w:r>
          </w:p>
        </w:tc>
        <w:tc>
          <w:tcPr>
            <w:tcW w:w="1824" w:type="dxa"/>
            <w:noWrap w:val="0"/>
            <w:vAlign w:val="top"/>
          </w:tcPr>
          <w:p w14:paraId="4E19D1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78764F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p>
        </w:tc>
      </w:tr>
      <w:tr w14:paraId="29E6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71501C8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5</w:t>
            </w:r>
          </w:p>
        </w:tc>
        <w:tc>
          <w:tcPr>
            <w:tcW w:w="6354" w:type="dxa"/>
            <w:shd w:val="clear" w:color="auto" w:fill="auto"/>
            <w:noWrap w:val="0"/>
            <w:vAlign w:val="top"/>
          </w:tcPr>
          <w:p w14:paraId="47189B10">
            <w:pPr>
              <w:keepNext w:val="0"/>
              <w:keepLines w:val="0"/>
              <w:pageBreakBefore w:val="0"/>
              <w:numPr>
                <w:ilvl w:val="0"/>
                <w:numId w:val="0"/>
              </w:numPr>
              <w:kinsoku/>
              <w:wordWrap/>
              <w:overflowPunct/>
              <w:topLinePunct w:val="0"/>
              <w:autoSpaceDE/>
              <w:autoSpaceDN/>
              <w:bidi w:val="0"/>
              <w:adjustRightInd/>
              <w:snapToGrid/>
              <w:spacing w:line="360" w:lineRule="exact"/>
              <w:ind w:left="0" w:leftChars="0" w:firstLine="0" w:firstLineChars="0"/>
              <w:jc w:val="both"/>
              <w:rPr>
                <w:rFonts w:hint="eastAsia" w:ascii="仿宋" w:hAnsi="仿宋" w:eastAsia="仿宋" w:cs="仿宋"/>
                <w:kern w:val="2"/>
                <w:sz w:val="28"/>
                <w:szCs w:val="28"/>
                <w:lang w:val="en-US" w:eastAsia="zh-CN" w:bidi="ar-SA"/>
              </w:rPr>
            </w:pPr>
            <w:r>
              <w:rPr>
                <w:rFonts w:hint="eastAsia" w:ascii="仿宋" w:hAnsi="仿宋" w:eastAsia="仿宋" w:cs="仿宋"/>
                <w:b w:val="0"/>
                <w:bCs w:val="0"/>
                <w:kern w:val="2"/>
                <w:sz w:val="28"/>
                <w:szCs w:val="28"/>
                <w:lang w:val="en-US" w:eastAsia="zh-CN" w:bidi="ar-SA"/>
              </w:rPr>
              <w:t>大小规格齐全。</w:t>
            </w:r>
          </w:p>
        </w:tc>
        <w:tc>
          <w:tcPr>
            <w:tcW w:w="1824" w:type="dxa"/>
            <w:noWrap w:val="0"/>
            <w:vAlign w:val="top"/>
          </w:tcPr>
          <w:p w14:paraId="080CDA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3DEBED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p>
        </w:tc>
      </w:tr>
      <w:tr w14:paraId="44E2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65C85A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w:t>
            </w:r>
          </w:p>
        </w:tc>
        <w:tc>
          <w:tcPr>
            <w:tcW w:w="6354" w:type="dxa"/>
            <w:shd w:val="clear" w:color="auto" w:fill="auto"/>
            <w:noWrap w:val="0"/>
            <w:vAlign w:val="top"/>
          </w:tcPr>
          <w:p w14:paraId="265ADBDD">
            <w:pPr>
              <w:keepNext w:val="0"/>
              <w:keepLines w:val="0"/>
              <w:pageBreakBefore w:val="0"/>
              <w:numPr>
                <w:ilvl w:val="0"/>
                <w:numId w:val="0"/>
              </w:numPr>
              <w:kinsoku/>
              <w:wordWrap/>
              <w:overflowPunct/>
              <w:topLinePunct w:val="0"/>
              <w:autoSpaceDE/>
              <w:autoSpaceDN/>
              <w:bidi w:val="0"/>
              <w:adjustRightInd/>
              <w:snapToGrid/>
              <w:spacing w:line="360" w:lineRule="exact"/>
              <w:ind w:left="0" w:leftChars="0" w:firstLine="0" w:firstLineChars="0"/>
              <w:jc w:val="both"/>
              <w:rPr>
                <w:rFonts w:hint="eastAsia" w:ascii="仿宋" w:hAnsi="仿宋" w:eastAsia="仿宋" w:cs="仿宋"/>
                <w:kern w:val="2"/>
                <w:sz w:val="28"/>
                <w:szCs w:val="28"/>
                <w:lang w:val="en-US" w:eastAsia="zh-CN" w:bidi="ar-SA"/>
              </w:rPr>
            </w:pPr>
            <w:r>
              <w:rPr>
                <w:rFonts w:hint="eastAsia" w:ascii="仿宋" w:hAnsi="仿宋" w:eastAsia="仿宋" w:cs="仿宋"/>
                <w:sz w:val="28"/>
                <w:szCs w:val="28"/>
              </w:rPr>
              <w:t>产品有效期≥</w:t>
            </w:r>
            <w:r>
              <w:rPr>
                <w:rFonts w:hint="eastAsia" w:ascii="仿宋" w:hAnsi="仿宋" w:eastAsia="仿宋" w:cs="仿宋"/>
                <w:sz w:val="28"/>
                <w:szCs w:val="28"/>
                <w:lang w:val="en-US" w:eastAsia="zh-CN"/>
              </w:rPr>
              <w:t>24</w:t>
            </w:r>
            <w:r>
              <w:rPr>
                <w:rFonts w:hint="eastAsia" w:ascii="仿宋" w:hAnsi="仿宋" w:eastAsia="仿宋" w:cs="仿宋"/>
                <w:sz w:val="28"/>
                <w:szCs w:val="28"/>
              </w:rPr>
              <w:t>个</w:t>
            </w:r>
            <w:r>
              <w:rPr>
                <w:rFonts w:hint="eastAsia" w:ascii="仿宋" w:hAnsi="仿宋" w:eastAsia="仿宋" w:cs="仿宋"/>
                <w:sz w:val="28"/>
                <w:szCs w:val="28"/>
                <w:lang w:val="en-US" w:eastAsia="zh-CN"/>
              </w:rPr>
              <w:t>月。</w:t>
            </w:r>
          </w:p>
        </w:tc>
        <w:tc>
          <w:tcPr>
            <w:tcW w:w="1824" w:type="dxa"/>
            <w:noWrap w:val="0"/>
            <w:vAlign w:val="top"/>
          </w:tcPr>
          <w:p w14:paraId="657252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32D0EC2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p>
        </w:tc>
      </w:tr>
    </w:tbl>
    <w:p w14:paraId="1AFF5388">
      <w:pPr>
        <w:keepNext w:val="0"/>
        <w:keepLines w:val="0"/>
        <w:pageBreakBefore w:val="0"/>
        <w:tabs>
          <w:tab w:val="left" w:pos="6973"/>
        </w:tabs>
        <w:kinsoku/>
        <w:wordWrap/>
        <w:overflowPunct/>
        <w:topLinePunct w:val="0"/>
        <w:autoSpaceDE/>
        <w:autoSpaceDN/>
        <w:bidi w:val="0"/>
        <w:adjustRightInd/>
        <w:snapToGrid/>
        <w:spacing w:line="360" w:lineRule="exact"/>
        <w:jc w:val="left"/>
        <w:rPr>
          <w:rFonts w:hint="eastAsia"/>
          <w:lang w:val="en-US" w:eastAsia="zh-CN"/>
        </w:rPr>
      </w:pPr>
      <w:bookmarkStart w:id="0" w:name="_GoBack"/>
      <w:bookmarkEnd w:id="0"/>
    </w:p>
    <w:p w14:paraId="30A7DADC">
      <w:pPr>
        <w:spacing w:line="440" w:lineRule="exact"/>
        <w:jc w:val="center"/>
        <w:rPr>
          <w:rFonts w:hint="eastAsia" w:ascii="宋体" w:hAnsi="宋体" w:cs="宋体"/>
          <w:sz w:val="44"/>
          <w:szCs w:val="44"/>
        </w:rPr>
      </w:pPr>
    </w:p>
    <w:p w14:paraId="13E3DDA2">
      <w:pPr>
        <w:spacing w:line="440" w:lineRule="exact"/>
        <w:jc w:val="center"/>
        <w:rPr>
          <w:rFonts w:hint="eastAsia" w:ascii="宋体" w:hAnsi="宋体" w:cs="宋体"/>
          <w:sz w:val="44"/>
          <w:szCs w:val="44"/>
        </w:rPr>
      </w:pPr>
    </w:p>
    <w:p w14:paraId="0DBFE291">
      <w:pPr>
        <w:keepNext w:val="0"/>
        <w:keepLines w:val="0"/>
        <w:pageBreakBefore w:val="0"/>
        <w:kinsoku/>
        <w:wordWrap/>
        <w:overflowPunct/>
        <w:topLinePunct w:val="0"/>
        <w:autoSpaceDE/>
        <w:autoSpaceDN/>
        <w:bidi w:val="0"/>
        <w:adjustRightInd/>
        <w:snapToGrid/>
        <w:spacing w:line="360" w:lineRule="exact"/>
        <w:jc w:val="center"/>
        <w:rPr>
          <w:rFonts w:ascii="宋体" w:hAnsi="宋体" w:cs="宋体"/>
          <w:color w:val="000000"/>
          <w:sz w:val="30"/>
          <w:szCs w:val="30"/>
        </w:rPr>
      </w:pPr>
      <w:r>
        <w:rPr>
          <w:rFonts w:hint="eastAsia" w:ascii="宋体" w:hAnsi="宋体" w:cs="宋体"/>
          <w:sz w:val="30"/>
          <w:szCs w:val="30"/>
          <w:u w:val="single"/>
        </w:rPr>
        <w:t>一次性使用无菌手术衣</w:t>
      </w:r>
      <w:r>
        <w:rPr>
          <w:rFonts w:hint="eastAsia" w:ascii="宋体" w:hAnsi="宋体" w:cs="宋体"/>
          <w:sz w:val="30"/>
          <w:szCs w:val="30"/>
        </w:rPr>
        <w:t>技术参数</w:t>
      </w:r>
    </w:p>
    <w:tbl>
      <w:tblPr>
        <w:tblStyle w:val="5"/>
        <w:tblpPr w:leftFromText="180" w:rightFromText="180" w:vertAnchor="text" w:tblpX="-364" w:tblpY="324"/>
        <w:tblOverlap w:val="never"/>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6354"/>
        <w:gridCol w:w="1824"/>
        <w:gridCol w:w="990"/>
      </w:tblGrid>
      <w:tr w14:paraId="1DC3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vAlign w:val="center"/>
          </w:tcPr>
          <w:p w14:paraId="1B25B5AB">
            <w:pPr>
              <w:keepNext w:val="0"/>
              <w:keepLines w:val="0"/>
              <w:pageBreakBefore w:val="0"/>
              <w:kinsoku/>
              <w:wordWrap/>
              <w:overflowPunct/>
              <w:topLinePunct w:val="0"/>
              <w:autoSpaceDE/>
              <w:autoSpaceDN/>
              <w:bidi w:val="0"/>
              <w:adjustRightInd/>
              <w:snapToGrid/>
              <w:spacing w:line="360" w:lineRule="exact"/>
              <w:jc w:val="center"/>
              <w:rPr>
                <w:rFonts w:ascii="仿宋" w:hAnsi="仿宋" w:eastAsia="仿宋" w:cs="仿宋"/>
                <w:sz w:val="24"/>
                <w:szCs w:val="24"/>
              </w:rPr>
            </w:pPr>
            <w:r>
              <w:rPr>
                <w:rFonts w:hint="eastAsia" w:ascii="仿宋" w:hAnsi="仿宋" w:eastAsia="仿宋" w:cs="仿宋"/>
                <w:b/>
                <w:bCs/>
                <w:color w:val="000000"/>
                <w:sz w:val="24"/>
                <w:szCs w:val="24"/>
              </w:rPr>
              <w:t>序号</w:t>
            </w:r>
          </w:p>
        </w:tc>
        <w:tc>
          <w:tcPr>
            <w:tcW w:w="6354" w:type="dxa"/>
            <w:vAlign w:val="center"/>
          </w:tcPr>
          <w:p w14:paraId="57BA8F99">
            <w:pPr>
              <w:keepNext w:val="0"/>
              <w:keepLines w:val="0"/>
              <w:pageBreakBefore w:val="0"/>
              <w:kinsoku/>
              <w:wordWrap/>
              <w:overflowPunct/>
              <w:topLinePunct w:val="0"/>
              <w:autoSpaceDE/>
              <w:autoSpaceDN/>
              <w:bidi w:val="0"/>
              <w:adjustRightInd/>
              <w:snapToGrid/>
              <w:spacing w:line="360" w:lineRule="exact"/>
              <w:jc w:val="center"/>
              <w:rPr>
                <w:rFonts w:ascii="仿宋" w:hAnsi="仿宋" w:eastAsia="仿宋" w:cs="仿宋"/>
                <w:sz w:val="24"/>
                <w:szCs w:val="24"/>
              </w:rPr>
            </w:pPr>
            <w:r>
              <w:rPr>
                <w:rFonts w:hint="eastAsia" w:ascii="仿宋" w:hAnsi="仿宋" w:eastAsia="仿宋" w:cs="仿宋"/>
                <w:b/>
                <w:bCs/>
                <w:color w:val="000000"/>
                <w:sz w:val="24"/>
                <w:szCs w:val="24"/>
              </w:rPr>
              <w:t>参数技术要求</w:t>
            </w:r>
          </w:p>
        </w:tc>
        <w:tc>
          <w:tcPr>
            <w:tcW w:w="1824" w:type="dxa"/>
            <w:vAlign w:val="center"/>
          </w:tcPr>
          <w:p w14:paraId="14B34321">
            <w:pPr>
              <w:keepNext w:val="0"/>
              <w:keepLines w:val="0"/>
              <w:pageBreakBefore w:val="0"/>
              <w:kinsoku/>
              <w:wordWrap/>
              <w:overflowPunct/>
              <w:topLinePunct w:val="0"/>
              <w:autoSpaceDE/>
              <w:autoSpaceDN/>
              <w:bidi w:val="0"/>
              <w:adjustRightInd/>
              <w:snapToGrid/>
              <w:spacing w:line="360" w:lineRule="exact"/>
              <w:jc w:val="center"/>
              <w:rPr>
                <w:rFonts w:ascii="仿宋" w:hAnsi="仿宋" w:eastAsia="仿宋" w:cs="仿宋"/>
                <w:sz w:val="24"/>
                <w:szCs w:val="24"/>
              </w:rPr>
            </w:pPr>
            <w:r>
              <w:rPr>
                <w:rFonts w:hint="eastAsia" w:ascii="仿宋" w:hAnsi="仿宋" w:eastAsia="仿宋" w:cs="仿宋"/>
                <w:b/>
                <w:bCs/>
                <w:color w:val="000000"/>
                <w:sz w:val="24"/>
                <w:szCs w:val="24"/>
              </w:rPr>
              <w:t>正负偏离指标</w:t>
            </w:r>
          </w:p>
        </w:tc>
        <w:tc>
          <w:tcPr>
            <w:tcW w:w="990" w:type="dxa"/>
            <w:vAlign w:val="center"/>
          </w:tcPr>
          <w:p w14:paraId="343245C5">
            <w:pPr>
              <w:keepNext w:val="0"/>
              <w:keepLines w:val="0"/>
              <w:pageBreakBefore w:val="0"/>
              <w:kinsoku/>
              <w:wordWrap/>
              <w:overflowPunct/>
              <w:topLinePunct w:val="0"/>
              <w:autoSpaceDE/>
              <w:autoSpaceDN/>
              <w:bidi w:val="0"/>
              <w:adjustRightInd/>
              <w:snapToGrid/>
              <w:spacing w:line="360" w:lineRule="exact"/>
              <w:jc w:val="center"/>
              <w:rPr>
                <w:rFonts w:ascii="仿宋" w:hAnsi="仿宋" w:eastAsia="仿宋" w:cs="仿宋"/>
                <w:sz w:val="24"/>
                <w:szCs w:val="24"/>
              </w:rPr>
            </w:pPr>
            <w:r>
              <w:rPr>
                <w:rFonts w:hint="eastAsia" w:ascii="仿宋" w:hAnsi="仿宋" w:eastAsia="仿宋" w:cs="仿宋"/>
                <w:b/>
                <w:bCs/>
                <w:color w:val="000000"/>
                <w:sz w:val="24"/>
                <w:szCs w:val="24"/>
              </w:rPr>
              <w:t>备注</w:t>
            </w:r>
          </w:p>
        </w:tc>
      </w:tr>
      <w:tr w14:paraId="5387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 w:type="dxa"/>
            <w:vAlign w:val="center"/>
          </w:tcPr>
          <w:p w14:paraId="6720A5C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1</w:t>
            </w:r>
          </w:p>
        </w:tc>
        <w:tc>
          <w:tcPr>
            <w:tcW w:w="6354" w:type="dxa"/>
            <w:vAlign w:val="center"/>
          </w:tcPr>
          <w:p w14:paraId="466902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供手术人员穿着，降低感染源向病人手术创面传播以防止术后创面感染。</w:t>
            </w:r>
          </w:p>
        </w:tc>
        <w:tc>
          <w:tcPr>
            <w:tcW w:w="1824" w:type="dxa"/>
          </w:tcPr>
          <w:p w14:paraId="0522A1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3A5B73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r w14:paraId="5793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942" w:type="dxa"/>
            <w:vAlign w:val="center"/>
          </w:tcPr>
          <w:p w14:paraId="7E8CEC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2</w:t>
            </w:r>
          </w:p>
        </w:tc>
        <w:tc>
          <w:tcPr>
            <w:tcW w:w="6354" w:type="dxa"/>
          </w:tcPr>
          <w:p w14:paraId="2B0B3D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结构组成：主要由医用SMMS45克无纺布等裁制超声波焊接而成。材质重量含量标准提供三方检验报告和注册证。由衣领，衣身、衣袖组成，袖口为弹性收口，腰部收口采用拉绳收口：为褂式，后面全包围式。颈部系带长20-40cm，腰部系带长20-100cm.前襟、前胸和两个袖子要求加强.肘部为加强区，加强区材质为多微孔透气膜。衣领加厚，吸液易贴式、自带魔术贴可以调节领口大小。袖口有弹性水刺布能够吸汗。加厚螺纹袖口舒适不勒手腕。腰部系带配置非接触式缠绕卡。该产品为标准性能手术衣，以无菌形式提供。</w:t>
            </w:r>
          </w:p>
        </w:tc>
        <w:tc>
          <w:tcPr>
            <w:tcW w:w="1824" w:type="dxa"/>
          </w:tcPr>
          <w:p w14:paraId="7BA44F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024A51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r w14:paraId="6B62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942" w:type="dxa"/>
            <w:vAlign w:val="center"/>
          </w:tcPr>
          <w:p w14:paraId="08F97B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3</w:t>
            </w:r>
          </w:p>
        </w:tc>
        <w:tc>
          <w:tcPr>
            <w:tcW w:w="6354" w:type="dxa"/>
          </w:tcPr>
          <w:p w14:paraId="4D1D01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产品要求能直接接触皮肤无致敏性，长时间接触皮肤不会导致红斑和水肿。能够出具第三方的检验报告证明。</w:t>
            </w:r>
          </w:p>
        </w:tc>
        <w:tc>
          <w:tcPr>
            <w:tcW w:w="1824" w:type="dxa"/>
          </w:tcPr>
          <w:p w14:paraId="59187C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586D6E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r w14:paraId="53A0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 w:type="dxa"/>
            <w:vAlign w:val="center"/>
          </w:tcPr>
          <w:p w14:paraId="7B7B5B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4</w:t>
            </w:r>
          </w:p>
        </w:tc>
        <w:tc>
          <w:tcPr>
            <w:tcW w:w="6354" w:type="dxa"/>
          </w:tcPr>
          <w:p w14:paraId="0CF6C9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规格型号:M120*150、L130*160cm、XL140*170cm</w:t>
            </w:r>
          </w:p>
        </w:tc>
        <w:tc>
          <w:tcPr>
            <w:tcW w:w="1824" w:type="dxa"/>
          </w:tcPr>
          <w:p w14:paraId="2F712D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2EF2C9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r w14:paraId="4603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vAlign w:val="center"/>
          </w:tcPr>
          <w:p w14:paraId="598482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5</w:t>
            </w:r>
          </w:p>
        </w:tc>
        <w:tc>
          <w:tcPr>
            <w:tcW w:w="6354" w:type="dxa"/>
          </w:tcPr>
          <w:p w14:paraId="14B3BC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要求有CMA第三方的检验报告。详细检测内容如下1、微粒释放：关键区域微粒释放系数：2.32，非关键区域微粒释放系数：1.06。</w:t>
            </w:r>
          </w:p>
          <w:p w14:paraId="66BB42A0">
            <w:pPr>
              <w:keepNext w:val="0"/>
              <w:keepLines w:val="0"/>
              <w:pageBreakBefore w:val="0"/>
              <w:widowControl/>
              <w:numPr>
                <w:ilvl w:val="0"/>
                <w:numId w:val="2"/>
              </w:numPr>
              <w:kinsoku/>
              <w:wordWrap/>
              <w:overflowPunct/>
              <w:topLinePunct w:val="0"/>
              <w:autoSpaceDE/>
              <w:autoSpaceDN/>
              <w:bidi w:val="0"/>
              <w:adjustRightInd/>
              <w:snapToGrid/>
              <w:spacing w:line="360" w:lineRule="exact"/>
              <w:textAlignment w:val="center"/>
              <w:rPr>
                <w:rFonts w:ascii="仿宋" w:hAnsi="仿宋" w:eastAsia="仿宋" w:cs="仿宋"/>
                <w:sz w:val="28"/>
                <w:szCs w:val="28"/>
              </w:rPr>
            </w:pPr>
            <w:r>
              <w:rPr>
                <w:rFonts w:hint="eastAsia" w:ascii="仿宋" w:hAnsi="仿宋" w:eastAsia="仿宋" w:cs="仿宋"/>
                <w:sz w:val="28"/>
                <w:szCs w:val="28"/>
              </w:rPr>
              <w:t>阻液体穿透：关键区域平均液体穿透压力：150cmH₂O,非关键区域平均阻液体穿透压力：56cmH₂O.</w:t>
            </w:r>
          </w:p>
          <w:p w14:paraId="2F953071">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胀破强力干态：关键区域平均干态胀破强力：241KPa,非关键区域干态胀破强力：127KPa.</w:t>
            </w:r>
          </w:p>
          <w:p w14:paraId="018C480E">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胀破强力湿态：关键区域平均湿态胀破强力：240KPa.</w:t>
            </w:r>
          </w:p>
          <w:p w14:paraId="4EFD0175">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断裂强力干态：关键区域平均干态断裂强力：横向145N，纵向121N。非关键区域平均干态断裂强力：横向104N，纵向55N。</w:t>
            </w:r>
          </w:p>
          <w:p w14:paraId="136A5169">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断裂强力湿态：关键区域平均湿态断裂强力：横向151N，纵向124N。</w:t>
            </w:r>
          </w:p>
          <w:p w14:paraId="6CFB3F3A">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单位面积质量符合GB/T24218.1-2009关键区域平均单位面积质量：95g/m²,非关键区域平均单位面积质量:48g/m².</w:t>
            </w:r>
          </w:p>
          <w:p w14:paraId="666F5AC0">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手术衣颈部及腰部的系带应能承受10N的轴向静拉力，持续1min无断裂或脱落现象。</w:t>
            </w:r>
          </w:p>
          <w:p w14:paraId="61B27DED">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缝制：敷料的缝制针脚每10cm平均脚数：29针。</w:t>
            </w:r>
          </w:p>
          <w:p w14:paraId="31F4794B">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透气性：按照YY/T0506.2-2016中B.2规定的方法进行实验，平均透气性：158mm/s.</w:t>
            </w:r>
          </w:p>
          <w:p w14:paraId="4D39AA3E">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落絮：关键区域落絮计数≤2.0，非关键区≤2.5.</w:t>
            </w:r>
          </w:p>
          <w:p w14:paraId="1FA40971">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洁净度-微生物：关键区≤10CFU/dm²，非关键区≤11CFU/dm².</w:t>
            </w:r>
          </w:p>
          <w:p w14:paraId="1458697D">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洁净度-微粒物质:关键区域≤1.8IPN，非关键区≤1.9IPN。</w:t>
            </w:r>
          </w:p>
          <w:p w14:paraId="1E6FAD0C">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抗渗水性：关键区域(面料)≧40.7cmH2O,关键区域（接缝）39.4cmH2O。非关键区域（面料）38.4cmH2O，非关键区域（接缝）43.4cmH2O。</w:t>
            </w:r>
          </w:p>
          <w:p w14:paraId="4889FC15">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环氧乙烷残留量：按照GB/T16886.7规定的方法或等有效实验时，产品环氧乙烷残留量应≤0.31ug/g.</w:t>
            </w:r>
          </w:p>
          <w:p w14:paraId="06B20C4F">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透气性：关键区域面料277mm/s,关键区域接缝252mm/s,非关键区域面料302mm/s,非关键区域接缝256mm/s.</w:t>
            </w:r>
          </w:p>
          <w:p w14:paraId="18C3D8B3">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无菌：手术衣应无菌</w:t>
            </w:r>
          </w:p>
          <w:p w14:paraId="79AB3AC0">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阻干态微生物穿透性能：关键区域阻干态微生物穿透Up值为：16.0-32.8CFU，非关键区域阻干态微生物穿透Up值为：18.5-29.0CFU.</w:t>
            </w:r>
          </w:p>
          <w:p w14:paraId="779C761F">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阻湿态微生物穿透性能：关键区域屏障系数为3.22-3.49.</w:t>
            </w:r>
          </w:p>
          <w:p w14:paraId="7A4D54C6">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生物负载：生物负载值为0-318CFU/dm²。</w:t>
            </w:r>
          </w:p>
          <w:p w14:paraId="630490AE">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皮肤致敏实验：要求提供24h和48h激发斑贴移去后致敏阳性为0%的相关实验的具体数据对比报告。</w:t>
            </w:r>
          </w:p>
          <w:p w14:paraId="0EC6B4B3">
            <w:pPr>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皮内反应实验：要求提供24h、48h、72h后实验样品的极性与非极性体液未引起皮内刺激反应的相关试验数据报告。</w:t>
            </w:r>
          </w:p>
          <w:p w14:paraId="5E53FA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r>
              <w:rPr>
                <w:rFonts w:hint="eastAsia" w:ascii="仿宋" w:hAnsi="仿宋" w:eastAsia="仿宋" w:cs="仿宋"/>
                <w:sz w:val="28"/>
                <w:szCs w:val="28"/>
              </w:rPr>
              <w:t>以上数据要求提供CMA第三方权威部门的检测合格的检测报告。</w:t>
            </w:r>
          </w:p>
        </w:tc>
        <w:tc>
          <w:tcPr>
            <w:tcW w:w="1824" w:type="dxa"/>
          </w:tcPr>
          <w:p w14:paraId="043172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41BA1B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r w14:paraId="1D44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vAlign w:val="center"/>
          </w:tcPr>
          <w:p w14:paraId="2D0BAFD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6</w:t>
            </w:r>
          </w:p>
        </w:tc>
        <w:tc>
          <w:tcPr>
            <w:tcW w:w="6354" w:type="dxa"/>
            <w:shd w:val="clear" w:color="auto" w:fill="auto"/>
          </w:tcPr>
          <w:p w14:paraId="6AC397DA">
            <w:pPr>
              <w:keepNext w:val="0"/>
              <w:keepLines w:val="0"/>
              <w:pageBreakBefore w:val="0"/>
              <w:kinsoku/>
              <w:wordWrap/>
              <w:overflowPunct/>
              <w:topLinePunct w:val="0"/>
              <w:autoSpaceDE/>
              <w:autoSpaceDN/>
              <w:bidi w:val="0"/>
              <w:adjustRightInd/>
              <w:snapToGrid/>
              <w:spacing w:line="360" w:lineRule="exact"/>
              <w:rPr>
                <w:rFonts w:hint="eastAsia" w:ascii="仿宋" w:hAnsi="仿宋" w:eastAsia="仿宋" w:cs="仿宋"/>
                <w:sz w:val="28"/>
                <w:szCs w:val="28"/>
              </w:rPr>
            </w:pPr>
            <w:r>
              <w:rPr>
                <w:rFonts w:hint="eastAsia" w:ascii="仿宋" w:hAnsi="仿宋" w:eastAsia="仿宋" w:cs="仿宋"/>
                <w:sz w:val="28"/>
                <w:szCs w:val="28"/>
              </w:rPr>
              <w:t>大小规格齐全要求符合各种规格型号的详细尺寸。</w:t>
            </w:r>
          </w:p>
        </w:tc>
        <w:tc>
          <w:tcPr>
            <w:tcW w:w="1824" w:type="dxa"/>
          </w:tcPr>
          <w:p w14:paraId="0F4517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57C8DA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r w14:paraId="16F1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vAlign w:val="center"/>
          </w:tcPr>
          <w:p w14:paraId="003816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仿宋" w:hAnsi="仿宋" w:eastAsia="仿宋" w:cs="仿宋"/>
                <w:sz w:val="30"/>
                <w:szCs w:val="30"/>
              </w:rPr>
            </w:pPr>
            <w:r>
              <w:rPr>
                <w:rFonts w:hint="eastAsia" w:ascii="仿宋" w:hAnsi="仿宋" w:eastAsia="仿宋" w:cs="仿宋"/>
                <w:sz w:val="30"/>
                <w:szCs w:val="30"/>
              </w:rPr>
              <w:t>7</w:t>
            </w:r>
          </w:p>
        </w:tc>
        <w:tc>
          <w:tcPr>
            <w:tcW w:w="6354" w:type="dxa"/>
            <w:shd w:val="clear" w:color="auto" w:fill="auto"/>
          </w:tcPr>
          <w:p w14:paraId="29C0E1BD">
            <w:pPr>
              <w:keepNext w:val="0"/>
              <w:keepLines w:val="0"/>
              <w:pageBreakBefore w:val="0"/>
              <w:kinsoku/>
              <w:wordWrap/>
              <w:overflowPunct/>
              <w:topLinePunct w:val="0"/>
              <w:autoSpaceDE/>
              <w:autoSpaceDN/>
              <w:bidi w:val="0"/>
              <w:adjustRightInd/>
              <w:snapToGrid/>
              <w:spacing w:line="360" w:lineRule="exact"/>
              <w:rPr>
                <w:rFonts w:ascii="仿宋" w:hAnsi="仿宋" w:eastAsia="仿宋" w:cs="仿宋"/>
                <w:sz w:val="28"/>
                <w:szCs w:val="28"/>
              </w:rPr>
            </w:pPr>
            <w:r>
              <w:rPr>
                <w:rFonts w:hint="eastAsia" w:ascii="仿宋" w:hAnsi="仿宋" w:eastAsia="仿宋" w:cs="仿宋"/>
                <w:sz w:val="28"/>
                <w:szCs w:val="28"/>
              </w:rPr>
              <w:t>产品有效期≥24个月。</w:t>
            </w:r>
          </w:p>
        </w:tc>
        <w:tc>
          <w:tcPr>
            <w:tcW w:w="1824" w:type="dxa"/>
          </w:tcPr>
          <w:p w14:paraId="217681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30"/>
                <w:szCs w:val="30"/>
              </w:rPr>
            </w:pPr>
          </w:p>
        </w:tc>
        <w:tc>
          <w:tcPr>
            <w:tcW w:w="990" w:type="dxa"/>
          </w:tcPr>
          <w:p w14:paraId="6A19CB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ascii="仿宋" w:hAnsi="仿宋" w:eastAsia="仿宋" w:cs="仿宋"/>
                <w:sz w:val="28"/>
                <w:szCs w:val="28"/>
              </w:rPr>
            </w:pPr>
          </w:p>
        </w:tc>
      </w:tr>
    </w:tbl>
    <w:p w14:paraId="35C0613E">
      <w:pPr>
        <w:numPr>
          <w:ilvl w:val="0"/>
          <w:numId w:val="0"/>
        </w:numPr>
        <w:spacing w:line="440" w:lineRule="exact"/>
        <w:ind w:firstLine="1280" w:firstLineChars="400"/>
        <w:jc w:val="both"/>
        <w:rPr>
          <w:rFonts w:hint="eastAsia" w:ascii="宋体" w:hAnsi="宋体" w:cs="宋体"/>
          <w:sz w:val="32"/>
          <w:szCs w:val="32"/>
          <w:u w:val="none"/>
          <w:lang w:val="en-US" w:eastAsia="zh-CN"/>
        </w:rPr>
      </w:pPr>
    </w:p>
    <w:p w14:paraId="5C01F011">
      <w:pPr>
        <w:numPr>
          <w:ilvl w:val="0"/>
          <w:numId w:val="0"/>
        </w:numPr>
        <w:spacing w:line="440" w:lineRule="exact"/>
        <w:ind w:firstLine="1280" w:firstLineChars="400"/>
        <w:jc w:val="both"/>
        <w:rPr>
          <w:rFonts w:hint="eastAsia" w:ascii="宋体" w:hAnsi="宋体" w:cs="宋体"/>
          <w:sz w:val="32"/>
          <w:szCs w:val="32"/>
          <w:u w:val="none"/>
          <w:lang w:val="en-US" w:eastAsia="zh-CN"/>
        </w:rPr>
      </w:pPr>
    </w:p>
    <w:p w14:paraId="75013D86">
      <w:pPr>
        <w:numPr>
          <w:ilvl w:val="0"/>
          <w:numId w:val="0"/>
        </w:numPr>
        <w:spacing w:line="440" w:lineRule="exact"/>
        <w:ind w:firstLine="1280" w:firstLineChars="400"/>
        <w:jc w:val="both"/>
        <w:rPr>
          <w:rFonts w:hint="eastAsia" w:ascii="宋体" w:hAnsi="宋体" w:cs="宋体"/>
          <w:sz w:val="32"/>
          <w:szCs w:val="32"/>
          <w:u w:val="none"/>
          <w:lang w:val="en-US" w:eastAsia="zh-CN"/>
        </w:rPr>
      </w:pPr>
    </w:p>
    <w:p w14:paraId="37F12794">
      <w:pPr>
        <w:numPr>
          <w:ilvl w:val="0"/>
          <w:numId w:val="0"/>
        </w:numPr>
        <w:spacing w:line="440" w:lineRule="exact"/>
        <w:ind w:firstLine="1280" w:firstLineChars="400"/>
        <w:jc w:val="both"/>
        <w:rPr>
          <w:rFonts w:hint="eastAsia" w:ascii="宋体" w:hAnsi="宋体" w:cs="宋体"/>
          <w:sz w:val="32"/>
          <w:szCs w:val="32"/>
          <w:u w:val="none"/>
          <w:lang w:val="en-US" w:eastAsia="zh-CN"/>
        </w:rPr>
      </w:pPr>
    </w:p>
    <w:p w14:paraId="010FDEC2">
      <w:pPr>
        <w:numPr>
          <w:ilvl w:val="0"/>
          <w:numId w:val="0"/>
        </w:numPr>
        <w:spacing w:line="440" w:lineRule="exact"/>
        <w:ind w:firstLine="1280" w:firstLineChars="400"/>
        <w:jc w:val="both"/>
        <w:rPr>
          <w:rFonts w:hint="eastAsia" w:ascii="宋体" w:hAnsi="宋体" w:eastAsia="宋体" w:cs="宋体"/>
          <w:b w:val="0"/>
          <w:bCs w:val="0"/>
          <w:color w:val="000000"/>
          <w:sz w:val="32"/>
          <w:szCs w:val="32"/>
          <w:u w:val="none"/>
          <w:lang w:eastAsia="zh-CN"/>
        </w:rPr>
      </w:pPr>
      <w:r>
        <w:rPr>
          <w:rFonts w:hint="eastAsia" w:ascii="宋体" w:hAnsi="宋体" w:cs="宋体"/>
          <w:sz w:val="32"/>
          <w:szCs w:val="32"/>
          <w:u w:val="single"/>
          <w:lang w:val="en-US" w:eastAsia="zh-CN"/>
        </w:rPr>
        <w:t>过氧化氢低温等离子体灭菌包装袋</w:t>
      </w:r>
      <w:r>
        <w:rPr>
          <w:rFonts w:hint="eastAsia" w:ascii="宋体" w:hAnsi="宋体" w:cs="宋体"/>
          <w:sz w:val="32"/>
          <w:szCs w:val="32"/>
          <w:u w:val="none"/>
          <w:lang w:val="en-US" w:eastAsia="zh-CN"/>
        </w:rPr>
        <w:t>技术参数</w:t>
      </w:r>
    </w:p>
    <w:tbl>
      <w:tblPr>
        <w:tblStyle w:val="5"/>
        <w:tblpPr w:leftFromText="180" w:rightFromText="180" w:vertAnchor="text" w:tblpX="-364" w:tblpY="324"/>
        <w:tblOverlap w:val="never"/>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6354"/>
        <w:gridCol w:w="1824"/>
        <w:gridCol w:w="990"/>
      </w:tblGrid>
      <w:tr w14:paraId="7E31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7DBE710F">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序号</w:t>
            </w:r>
          </w:p>
        </w:tc>
        <w:tc>
          <w:tcPr>
            <w:tcW w:w="6354" w:type="dxa"/>
            <w:noWrap w:val="0"/>
            <w:vAlign w:val="center"/>
          </w:tcPr>
          <w:p w14:paraId="2DE89B30">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参数技术要求</w:t>
            </w:r>
          </w:p>
        </w:tc>
        <w:tc>
          <w:tcPr>
            <w:tcW w:w="1824" w:type="dxa"/>
            <w:noWrap w:val="0"/>
            <w:vAlign w:val="center"/>
          </w:tcPr>
          <w:p w14:paraId="1E89FFD1">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正负偏离指标</w:t>
            </w:r>
          </w:p>
        </w:tc>
        <w:tc>
          <w:tcPr>
            <w:tcW w:w="990" w:type="dxa"/>
            <w:noWrap w:val="0"/>
            <w:vAlign w:val="center"/>
          </w:tcPr>
          <w:p w14:paraId="6D80AAA7">
            <w:pPr>
              <w:spacing w:line="440" w:lineRule="exact"/>
              <w:jc w:val="center"/>
              <w:rPr>
                <w:rFonts w:hint="eastAsia" w:ascii="仿宋" w:hAnsi="仿宋" w:eastAsia="仿宋" w:cs="仿宋"/>
                <w:sz w:val="24"/>
                <w:szCs w:val="24"/>
              </w:rPr>
            </w:pPr>
            <w:r>
              <w:rPr>
                <w:rFonts w:hint="eastAsia" w:ascii="仿宋" w:hAnsi="仿宋" w:eastAsia="仿宋" w:cs="仿宋"/>
                <w:b/>
                <w:bCs/>
                <w:color w:val="000000"/>
                <w:sz w:val="24"/>
                <w:szCs w:val="24"/>
              </w:rPr>
              <w:t>备注</w:t>
            </w:r>
          </w:p>
        </w:tc>
      </w:tr>
      <w:tr w14:paraId="012B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 w:type="dxa"/>
            <w:noWrap w:val="0"/>
            <w:vAlign w:val="center"/>
          </w:tcPr>
          <w:p w14:paraId="38666AC8">
            <w:pPr>
              <w:widowControl/>
              <w:spacing w:line="440" w:lineRule="exact"/>
              <w:jc w:val="center"/>
              <w:textAlignment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w:t>
            </w:r>
          </w:p>
        </w:tc>
        <w:tc>
          <w:tcPr>
            <w:tcW w:w="6354" w:type="dxa"/>
            <w:noWrap w:val="0"/>
            <w:vAlign w:val="center"/>
          </w:tcPr>
          <w:p w14:paraId="4D14E0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使用于过氧化氢低温等离子体灭菌的物品包装,指示灭菌处理过程。</w:t>
            </w:r>
          </w:p>
        </w:tc>
        <w:tc>
          <w:tcPr>
            <w:tcW w:w="1824" w:type="dxa"/>
            <w:noWrap w:val="0"/>
            <w:vAlign w:val="top"/>
          </w:tcPr>
          <w:p w14:paraId="7753CD3D">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42FDDA0D">
            <w:pPr>
              <w:widowControl/>
              <w:spacing w:line="440" w:lineRule="exact"/>
              <w:jc w:val="left"/>
              <w:textAlignment w:val="center"/>
              <w:rPr>
                <w:rFonts w:hint="eastAsia" w:ascii="仿宋" w:hAnsi="仿宋" w:eastAsia="仿宋" w:cs="仿宋"/>
                <w:sz w:val="28"/>
                <w:szCs w:val="28"/>
                <w:lang w:val="en-US" w:eastAsia="zh-CN"/>
              </w:rPr>
            </w:pPr>
          </w:p>
        </w:tc>
      </w:tr>
      <w:tr w14:paraId="7839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942" w:type="dxa"/>
            <w:noWrap w:val="0"/>
            <w:vAlign w:val="center"/>
          </w:tcPr>
          <w:p w14:paraId="1D0CC2E1">
            <w:pPr>
              <w:widowControl/>
              <w:spacing w:line="440" w:lineRule="exact"/>
              <w:jc w:val="center"/>
              <w:textAlignment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w:t>
            </w:r>
          </w:p>
        </w:tc>
        <w:tc>
          <w:tcPr>
            <w:tcW w:w="6354" w:type="dxa"/>
            <w:noWrap w:val="0"/>
            <w:vAlign w:val="top"/>
          </w:tcPr>
          <w:p w14:paraId="67DAC8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一、 核心材料结构</w:t>
            </w:r>
          </w:p>
          <w:p w14:paraId="2EAAB6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纸塑袋或顶头袋结构，由两种不同材料复合而成；1.</w:t>
            </w:r>
            <w:r>
              <w:rPr>
                <w:rFonts w:hint="eastAsia" w:ascii="仿宋" w:hAnsi="仿宋" w:eastAsia="仿宋" w:cs="仿宋"/>
                <w:b/>
                <w:bCs/>
                <w:kern w:val="2"/>
                <w:sz w:val="28"/>
                <w:szCs w:val="28"/>
                <w:lang w:val="en-US" w:eastAsia="zh-CN" w:bidi="ar-SA"/>
              </w:rPr>
              <w:t>透气面</w:t>
            </w:r>
            <w:r>
              <w:rPr>
                <w:rFonts w:hint="eastAsia" w:ascii="仿宋" w:hAnsi="仿宋" w:eastAsia="仿宋" w:cs="仿宋"/>
                <w:kern w:val="2"/>
                <w:sz w:val="28"/>
                <w:szCs w:val="28"/>
                <w:lang w:val="en-US" w:eastAsia="zh-CN" w:bidi="ar-SA"/>
              </w:rPr>
              <w:t>：材料类似的高密度聚乙烯无纺布。特点具有优异的透气性、防水性、抗撕裂性和洁净度。其多孔结构允许过氧化氢气体和等离子体自由穿透，同时能有效阻隔细菌和尘埃。</w:t>
            </w:r>
          </w:p>
          <w:p w14:paraId="3E83B3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r>
              <w:rPr>
                <w:rFonts w:hint="eastAsia" w:ascii="仿宋" w:hAnsi="仿宋" w:eastAsia="仿宋" w:cs="仿宋"/>
                <w:b/>
                <w:bCs/>
                <w:kern w:val="2"/>
                <w:sz w:val="28"/>
                <w:szCs w:val="28"/>
                <w:lang w:val="en-US" w:eastAsia="zh-CN" w:bidi="ar-SA"/>
              </w:rPr>
              <w:t>透明面</w:t>
            </w:r>
            <w:r>
              <w:rPr>
                <w:rFonts w:hint="eastAsia" w:ascii="仿宋" w:hAnsi="仿宋" w:eastAsia="仿宋" w:cs="仿宋"/>
                <w:kern w:val="2"/>
                <w:sz w:val="28"/>
                <w:szCs w:val="28"/>
                <w:lang w:val="en-US" w:eastAsia="zh-CN" w:bidi="ar-SA"/>
              </w:rPr>
              <w:t>：材料为医用级复合塑料薄膜，如 PET（聚酯）/PE（聚乙烯）或 PET/PP（聚丙烯）等。</w:t>
            </w:r>
          </w:p>
          <w:p w14:paraId="425534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特点</w:t>
            </w:r>
            <w:r>
              <w:rPr>
                <w:rFonts w:hint="eastAsia" w:ascii="仿宋" w:hAnsi="仿宋" w:eastAsia="仿宋" w:cs="仿宋"/>
                <w:kern w:val="2"/>
                <w:sz w:val="28"/>
                <w:szCs w:val="28"/>
                <w:lang w:val="en-US" w:eastAsia="zh-CN" w:bidi="ar-SA"/>
              </w:rPr>
              <w:t>：具有良好的透明性、柔韧性和热封性能。便于观察内容物，通过热压形成牢固的密封边。</w:t>
            </w:r>
          </w:p>
        </w:tc>
        <w:tc>
          <w:tcPr>
            <w:tcW w:w="1824" w:type="dxa"/>
            <w:noWrap w:val="0"/>
            <w:vAlign w:val="top"/>
          </w:tcPr>
          <w:p w14:paraId="72F384F6">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26C0E6B4">
            <w:pPr>
              <w:widowControl/>
              <w:spacing w:line="440" w:lineRule="exact"/>
              <w:jc w:val="left"/>
              <w:textAlignment w:val="center"/>
              <w:rPr>
                <w:rFonts w:hint="eastAsia" w:ascii="仿宋" w:hAnsi="仿宋" w:eastAsia="仿宋" w:cs="仿宋"/>
                <w:sz w:val="28"/>
                <w:szCs w:val="28"/>
                <w:lang w:val="en-US" w:eastAsia="zh-CN"/>
              </w:rPr>
            </w:pPr>
          </w:p>
        </w:tc>
      </w:tr>
      <w:tr w14:paraId="711E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942" w:type="dxa"/>
            <w:noWrap w:val="0"/>
            <w:vAlign w:val="center"/>
          </w:tcPr>
          <w:p w14:paraId="484B42FB">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3</w:t>
            </w:r>
          </w:p>
        </w:tc>
        <w:tc>
          <w:tcPr>
            <w:tcW w:w="6354" w:type="dxa"/>
            <w:noWrap w:val="0"/>
            <w:vAlign w:val="top"/>
          </w:tcPr>
          <w:p w14:paraId="7265D4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外观包装袋和卷表面应整洁，无削弱功能的洞孔、裂缝、撕裂、皱痕或会影响其功能的局部加厚或变薄，无明显脏污、残缺、文字印刷清晰完整。</w:t>
            </w:r>
          </w:p>
        </w:tc>
        <w:tc>
          <w:tcPr>
            <w:tcW w:w="1824" w:type="dxa"/>
            <w:noWrap w:val="0"/>
            <w:vAlign w:val="top"/>
          </w:tcPr>
          <w:p w14:paraId="7C634230">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20D5FC79">
            <w:pPr>
              <w:widowControl/>
              <w:spacing w:line="440" w:lineRule="exact"/>
              <w:jc w:val="left"/>
              <w:textAlignment w:val="center"/>
              <w:rPr>
                <w:rFonts w:hint="eastAsia" w:ascii="仿宋" w:hAnsi="仿宋" w:eastAsia="仿宋" w:cs="仿宋"/>
                <w:sz w:val="28"/>
                <w:szCs w:val="28"/>
                <w:lang w:val="en-US" w:eastAsia="zh-CN"/>
              </w:rPr>
            </w:pPr>
          </w:p>
        </w:tc>
      </w:tr>
      <w:tr w14:paraId="5592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 w:type="dxa"/>
            <w:noWrap w:val="0"/>
            <w:vAlign w:val="center"/>
          </w:tcPr>
          <w:p w14:paraId="489A647A">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w:t>
            </w:r>
          </w:p>
        </w:tc>
        <w:tc>
          <w:tcPr>
            <w:tcW w:w="6354" w:type="dxa"/>
            <w:noWrap w:val="0"/>
            <w:vAlign w:val="top"/>
          </w:tcPr>
          <w:p w14:paraId="3D7C8D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物理性能</w:t>
            </w:r>
            <w:r>
              <w:rPr>
                <w:rFonts w:hint="eastAsia" w:ascii="仿宋" w:hAnsi="仿宋" w:eastAsia="仿宋" w:cs="仿宋"/>
                <w:kern w:val="2"/>
                <w:sz w:val="28"/>
                <w:szCs w:val="28"/>
                <w:lang w:val="en-US" w:eastAsia="zh-CN" w:bidi="ar-SA"/>
              </w:rPr>
              <w:t>：透气度符合 ISO 11607-1/2 标准，核心参数。必须保证过氧化氢蒸汽和等离子体能够快速、均匀地渗透，同时维持足够的微生物屏障。抗</w:t>
            </w:r>
            <w:r>
              <w:rPr>
                <w:rFonts w:hint="eastAsia" w:ascii="仿宋" w:hAnsi="仿宋" w:eastAsia="仿宋" w:cs="仿宋"/>
                <w:b/>
                <w:bCs/>
                <w:kern w:val="2"/>
                <w:sz w:val="28"/>
                <w:szCs w:val="28"/>
                <w:lang w:val="en-US" w:eastAsia="zh-CN" w:bidi="ar-SA"/>
              </w:rPr>
              <w:t>撕裂强度</w:t>
            </w:r>
            <w:r>
              <w:rPr>
                <w:rFonts w:hint="eastAsia" w:ascii="仿宋" w:hAnsi="仿宋" w:eastAsia="仿宋" w:cs="仿宋"/>
                <w:kern w:val="2"/>
                <w:sz w:val="28"/>
                <w:szCs w:val="28"/>
                <w:lang w:val="en-US" w:eastAsia="zh-CN" w:bidi="ar-SA"/>
              </w:rPr>
              <w:t>：纵向 ≥ 600 mN，横向 ≥ 500 mN 确保包装袋在搬运、装载和灭菌过程中不易破损，维持无菌屏障的完整性。胀破强度≥ 200 kPa衡量材料抵抗外部压力而不破裂的能力。</w:t>
            </w:r>
          </w:p>
          <w:p w14:paraId="3AE2E7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密封强度</w:t>
            </w:r>
            <w:r>
              <w:rPr>
                <w:rFonts w:hint="eastAsia" w:ascii="仿宋" w:hAnsi="仿宋" w:eastAsia="仿宋" w:cs="仿宋"/>
                <w:kern w:val="2"/>
                <w:sz w:val="28"/>
                <w:szCs w:val="28"/>
                <w:lang w:val="en-US" w:eastAsia="zh-CN" w:bidi="ar-SA"/>
              </w:rPr>
              <w:t xml:space="preserve"> ≥ 1.5 N/15mm 确保热封边牢固，在正常处理下不会开裂。</w:t>
            </w:r>
          </w:p>
          <w:p w14:paraId="55D166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化学性能</w:t>
            </w:r>
            <w:r>
              <w:rPr>
                <w:rFonts w:hint="eastAsia" w:ascii="仿宋" w:hAnsi="仿宋" w:eastAsia="仿宋" w:cs="仿宋"/>
                <w:kern w:val="2"/>
                <w:sz w:val="28"/>
                <w:szCs w:val="28"/>
                <w:lang w:val="en-US" w:eastAsia="zh-CN" w:bidi="ar-SA"/>
              </w:rPr>
              <w:t>：过氧化氢残留， 极低（需通过生物相容性测试），材料本身不能吸附或释放过氧化氢，避免对器械和患者造成化学危害。</w:t>
            </w:r>
          </w:p>
          <w:p w14:paraId="3BF8CF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颗粒物脱落</w:t>
            </w:r>
            <w:r>
              <w:rPr>
                <w:rFonts w:hint="eastAsia" w:ascii="仿宋" w:hAnsi="仿宋" w:eastAsia="仿宋" w:cs="仿宋"/>
                <w:kern w:val="2"/>
                <w:sz w:val="28"/>
                <w:szCs w:val="28"/>
                <w:lang w:val="en-US" w:eastAsia="zh-CN" w:bidi="ar-SA"/>
              </w:rPr>
              <w:t>：符合 USP &lt;788&gt; 或类似标准 ，确保包装材料不会污染无菌器械。</w:t>
            </w:r>
          </w:p>
          <w:p w14:paraId="27AA70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化学相容性</w:t>
            </w:r>
            <w:r>
              <w:rPr>
                <w:rFonts w:hint="eastAsia" w:ascii="仿宋" w:hAnsi="仿宋" w:eastAsia="仿宋" w:cs="仿宋"/>
                <w:kern w:val="2"/>
                <w:sz w:val="28"/>
                <w:szCs w:val="28"/>
                <w:lang w:val="en-US" w:eastAsia="zh-CN" w:bidi="ar-SA"/>
              </w:rPr>
              <w:t>：与过氧化氢灭菌过程兼容 ，材料在过氧化氢和等离子体环境下不能降解、变性或释放有毒物质。</w:t>
            </w:r>
          </w:p>
          <w:p w14:paraId="064B6E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微生物屏障，细菌阻隔效率，通过 ASTM F1608 标准测试核心功能。必须能有效阻隔细菌（如枯草杆菌黑色变种）等微生物，确保灭菌后的无菌状态。 </w:t>
            </w:r>
            <w:r>
              <w:rPr>
                <w:rFonts w:hint="eastAsia" w:ascii="仿宋" w:hAnsi="仿宋" w:eastAsia="仿宋" w:cs="仿宋"/>
                <w:b/>
                <w:bCs/>
                <w:kern w:val="2"/>
                <w:sz w:val="28"/>
                <w:szCs w:val="28"/>
                <w:lang w:val="en-US" w:eastAsia="zh-CN" w:bidi="ar-SA"/>
              </w:rPr>
              <w:t>干态微生物挑战</w:t>
            </w:r>
            <w:r>
              <w:rPr>
                <w:rFonts w:hint="eastAsia" w:ascii="仿宋" w:hAnsi="仿宋" w:eastAsia="仿宋" w:cs="仿宋"/>
                <w:kern w:val="2"/>
                <w:sz w:val="28"/>
                <w:szCs w:val="28"/>
                <w:lang w:val="en-US" w:eastAsia="zh-CN" w:bidi="ar-SA"/>
              </w:rPr>
              <w:t>：符合 ISO 11607 要求，模拟在干燥储存条件下维持无菌屏障的能力。</w:t>
            </w:r>
          </w:p>
          <w:p w14:paraId="280A62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工艺与外观</w:t>
            </w:r>
            <w:r>
              <w:rPr>
                <w:rFonts w:hint="eastAsia" w:ascii="仿宋" w:hAnsi="仿宋" w:eastAsia="仿宋" w:cs="仿宋"/>
                <w:kern w:val="2"/>
                <w:sz w:val="28"/>
                <w:szCs w:val="28"/>
                <w:lang w:val="en-US" w:eastAsia="zh-CN" w:bidi="ar-SA"/>
              </w:rPr>
              <w:t>：热封性能密封均匀、牢固，无虚封、漏封，保证包装的密封质量，是实现无菌屏障的前提。</w:t>
            </w:r>
          </w:p>
          <w:p w14:paraId="0F3423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印刷</w:t>
            </w:r>
            <w:r>
              <w:rPr>
                <w:rFonts w:hint="eastAsia" w:ascii="仿宋" w:hAnsi="仿宋" w:eastAsia="仿宋" w:cs="仿宋"/>
                <w:kern w:val="2"/>
                <w:sz w:val="28"/>
                <w:szCs w:val="28"/>
                <w:lang w:val="en-US" w:eastAsia="zh-CN" w:bidi="ar-SA"/>
              </w:rPr>
              <w:t>：使用生物相容性油墨，标识清晰，通常印有“STERILE”、“过氧化氢等离子体灭菌适用”、化学指示区、批次、有效期等。</w:t>
            </w:r>
          </w:p>
          <w:p w14:paraId="67A402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外观</w:t>
            </w:r>
            <w:r>
              <w:rPr>
                <w:rFonts w:hint="eastAsia" w:ascii="仿宋" w:hAnsi="仿宋" w:eastAsia="仿宋" w:cs="仿宋"/>
                <w:kern w:val="2"/>
                <w:sz w:val="28"/>
                <w:szCs w:val="28"/>
                <w:lang w:val="en-US" w:eastAsia="zh-CN" w:bidi="ar-SA"/>
              </w:rPr>
              <w:t xml:space="preserve">：无孔洞、无污渍、无杂质、基本的质量要求。 </w:t>
            </w:r>
          </w:p>
          <w:p w14:paraId="544F9C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生物相容性：细胞毒性、皮肤刺激性，通过 ISO 10993 系列测试，证明包装材料对人体是安全的，不会引起不良反应。 </w:t>
            </w:r>
          </w:p>
          <w:p w14:paraId="0A6266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产品要求提供安全评价报告和权威认证的第三方检验报告。</w:t>
            </w:r>
          </w:p>
        </w:tc>
        <w:tc>
          <w:tcPr>
            <w:tcW w:w="1824" w:type="dxa"/>
            <w:noWrap w:val="0"/>
            <w:vAlign w:val="top"/>
          </w:tcPr>
          <w:p w14:paraId="71BF4801">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1C2659CD">
            <w:pPr>
              <w:widowControl/>
              <w:spacing w:line="440" w:lineRule="exact"/>
              <w:jc w:val="left"/>
              <w:textAlignment w:val="center"/>
              <w:rPr>
                <w:rFonts w:hint="eastAsia" w:ascii="仿宋" w:hAnsi="仿宋" w:eastAsia="仿宋" w:cs="仿宋"/>
                <w:sz w:val="28"/>
                <w:szCs w:val="28"/>
                <w:lang w:val="en-US" w:eastAsia="zh-CN"/>
              </w:rPr>
            </w:pPr>
          </w:p>
        </w:tc>
      </w:tr>
      <w:tr w14:paraId="4046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693B4162">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5</w:t>
            </w:r>
          </w:p>
        </w:tc>
        <w:tc>
          <w:tcPr>
            <w:tcW w:w="6354" w:type="dxa"/>
            <w:noWrap w:val="0"/>
            <w:vAlign w:val="top"/>
          </w:tcPr>
          <w:p w14:paraId="5225DD3C">
            <w:pPr>
              <w:keepNext w:val="0"/>
              <w:keepLines w:val="0"/>
              <w:pageBreakBefore w:val="0"/>
              <w:widowControl/>
              <w:numPr>
                <w:ilvl w:val="0"/>
                <w:numId w:val="0"/>
              </w:numPr>
              <w:kinsoku/>
              <w:wordWrap/>
              <w:overflowPunct/>
              <w:topLinePunct w:val="0"/>
              <w:autoSpaceDE/>
              <w:autoSpaceDN/>
              <w:bidi w:val="0"/>
              <w:adjustRightInd/>
              <w:snapToGrid/>
              <w:spacing w:line="360" w:lineRule="exact"/>
              <w:ind w:leftChars="0"/>
              <w:jc w:val="left"/>
              <w:textAlignment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规格型号：7.5cm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80m、10cm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80m、15cm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80m、20cm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80m、25cm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80m、30cm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80m、35cm</w:t>
            </w:r>
            <w:r>
              <w:rPr>
                <w:rFonts w:hint="default" w:ascii="Arial" w:hAnsi="Arial" w:eastAsia="仿宋" w:cs="Arial"/>
                <w:sz w:val="28"/>
                <w:szCs w:val="28"/>
                <w:lang w:val="en-US" w:eastAsia="zh-CN"/>
              </w:rPr>
              <w:t>×</w:t>
            </w:r>
            <w:r>
              <w:rPr>
                <w:rFonts w:hint="eastAsia" w:ascii="仿宋" w:hAnsi="仿宋" w:eastAsia="仿宋" w:cs="仿宋"/>
                <w:kern w:val="2"/>
                <w:sz w:val="28"/>
                <w:szCs w:val="28"/>
                <w:lang w:val="en-US" w:eastAsia="zh-CN" w:bidi="ar-SA"/>
              </w:rPr>
              <w:t>80m.</w:t>
            </w:r>
          </w:p>
        </w:tc>
        <w:tc>
          <w:tcPr>
            <w:tcW w:w="1824" w:type="dxa"/>
            <w:noWrap w:val="0"/>
            <w:vAlign w:val="top"/>
          </w:tcPr>
          <w:p w14:paraId="060CC112">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3DE1BCDC">
            <w:pPr>
              <w:widowControl/>
              <w:spacing w:line="440" w:lineRule="exact"/>
              <w:jc w:val="left"/>
              <w:textAlignment w:val="center"/>
              <w:rPr>
                <w:rFonts w:hint="eastAsia" w:ascii="仿宋" w:hAnsi="仿宋" w:eastAsia="仿宋" w:cs="仿宋"/>
                <w:sz w:val="28"/>
                <w:szCs w:val="28"/>
                <w:lang w:val="en-US" w:eastAsia="zh-CN"/>
              </w:rPr>
            </w:pPr>
          </w:p>
        </w:tc>
      </w:tr>
      <w:tr w14:paraId="3C1F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68C13EC0">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w:t>
            </w:r>
          </w:p>
        </w:tc>
        <w:tc>
          <w:tcPr>
            <w:tcW w:w="6354" w:type="dxa"/>
            <w:shd w:val="clear" w:color="auto" w:fill="auto"/>
            <w:noWrap w:val="0"/>
            <w:vAlign w:val="top"/>
          </w:tcPr>
          <w:p w14:paraId="078CC9E6">
            <w:pPr>
              <w:keepNext w:val="0"/>
              <w:keepLines w:val="0"/>
              <w:pageBreakBefore w:val="0"/>
              <w:numPr>
                <w:ilvl w:val="0"/>
                <w:numId w:val="0"/>
              </w:numPr>
              <w:kinsoku/>
              <w:wordWrap/>
              <w:overflowPunct/>
              <w:topLinePunct w:val="0"/>
              <w:autoSpaceDE/>
              <w:autoSpaceDN/>
              <w:bidi w:val="0"/>
              <w:adjustRightInd/>
              <w:snapToGrid/>
              <w:spacing w:line="360" w:lineRule="exact"/>
              <w:ind w:left="0" w:leftChars="0" w:firstLine="0" w:firstLineChars="0"/>
              <w:jc w:val="both"/>
              <w:rPr>
                <w:rFonts w:hint="eastAsia" w:ascii="仿宋" w:hAnsi="仿宋" w:eastAsia="仿宋" w:cs="仿宋"/>
                <w:kern w:val="2"/>
                <w:sz w:val="28"/>
                <w:szCs w:val="28"/>
                <w:lang w:val="en-US" w:eastAsia="zh-CN" w:bidi="ar-SA"/>
              </w:rPr>
            </w:pPr>
            <w:r>
              <w:rPr>
                <w:rFonts w:hint="eastAsia" w:ascii="仿宋" w:hAnsi="仿宋" w:eastAsia="仿宋" w:cs="仿宋"/>
                <w:b w:val="0"/>
                <w:bCs w:val="0"/>
                <w:kern w:val="2"/>
                <w:sz w:val="28"/>
                <w:szCs w:val="28"/>
                <w:lang w:val="en-US" w:eastAsia="zh-CN" w:bidi="ar-SA"/>
              </w:rPr>
              <w:t>大小规格齐全，价格不同的，可分别报价。</w:t>
            </w:r>
          </w:p>
        </w:tc>
        <w:tc>
          <w:tcPr>
            <w:tcW w:w="1824" w:type="dxa"/>
            <w:noWrap w:val="0"/>
            <w:vAlign w:val="top"/>
          </w:tcPr>
          <w:p w14:paraId="2466E0A7">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5D6920C7">
            <w:pPr>
              <w:widowControl/>
              <w:spacing w:line="440" w:lineRule="exact"/>
              <w:jc w:val="left"/>
              <w:textAlignment w:val="center"/>
              <w:rPr>
                <w:rFonts w:hint="eastAsia" w:ascii="仿宋" w:hAnsi="仿宋" w:eastAsia="仿宋" w:cs="仿宋"/>
                <w:sz w:val="28"/>
                <w:szCs w:val="28"/>
                <w:lang w:val="en-US" w:eastAsia="zh-CN"/>
              </w:rPr>
            </w:pPr>
          </w:p>
        </w:tc>
      </w:tr>
      <w:tr w14:paraId="1A08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4EE9B73F">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7</w:t>
            </w:r>
          </w:p>
        </w:tc>
        <w:tc>
          <w:tcPr>
            <w:tcW w:w="6354" w:type="dxa"/>
            <w:shd w:val="clear" w:color="auto" w:fill="auto"/>
            <w:noWrap w:val="0"/>
            <w:vAlign w:val="top"/>
          </w:tcPr>
          <w:p w14:paraId="214A4087">
            <w:pPr>
              <w:keepNext w:val="0"/>
              <w:keepLines w:val="0"/>
              <w:pageBreakBefore w:val="0"/>
              <w:numPr>
                <w:ilvl w:val="0"/>
                <w:numId w:val="0"/>
              </w:numPr>
              <w:kinsoku/>
              <w:wordWrap/>
              <w:overflowPunct/>
              <w:topLinePunct w:val="0"/>
              <w:autoSpaceDE/>
              <w:autoSpaceDN/>
              <w:bidi w:val="0"/>
              <w:adjustRightInd/>
              <w:snapToGrid/>
              <w:spacing w:line="360" w:lineRule="exact"/>
              <w:ind w:left="0" w:leftChars="0" w:firstLine="0" w:firstLineChars="0"/>
              <w:jc w:val="both"/>
              <w:rPr>
                <w:rFonts w:hint="eastAsia" w:ascii="仿宋" w:hAnsi="仿宋" w:eastAsia="仿宋" w:cs="仿宋"/>
                <w:kern w:val="2"/>
                <w:sz w:val="28"/>
                <w:szCs w:val="28"/>
                <w:lang w:val="en-US" w:eastAsia="zh-CN" w:bidi="ar-SA"/>
              </w:rPr>
            </w:pPr>
            <w:r>
              <w:rPr>
                <w:rFonts w:hint="eastAsia" w:ascii="仿宋" w:hAnsi="仿宋" w:eastAsia="仿宋" w:cs="仿宋"/>
                <w:sz w:val="28"/>
                <w:szCs w:val="28"/>
              </w:rPr>
              <w:t>产品有效期≥</w:t>
            </w:r>
            <w:r>
              <w:rPr>
                <w:rFonts w:hint="eastAsia" w:ascii="仿宋" w:hAnsi="仿宋" w:eastAsia="仿宋" w:cs="仿宋"/>
                <w:sz w:val="28"/>
                <w:szCs w:val="28"/>
                <w:lang w:val="en-US" w:eastAsia="zh-CN"/>
              </w:rPr>
              <w:t>24</w:t>
            </w:r>
            <w:r>
              <w:rPr>
                <w:rFonts w:hint="eastAsia" w:ascii="仿宋" w:hAnsi="仿宋" w:eastAsia="仿宋" w:cs="仿宋"/>
                <w:sz w:val="28"/>
                <w:szCs w:val="28"/>
              </w:rPr>
              <w:t>个</w:t>
            </w:r>
            <w:r>
              <w:rPr>
                <w:rFonts w:hint="eastAsia" w:ascii="仿宋" w:hAnsi="仿宋" w:eastAsia="仿宋" w:cs="仿宋"/>
                <w:sz w:val="28"/>
                <w:szCs w:val="28"/>
                <w:lang w:val="en-US" w:eastAsia="zh-CN"/>
              </w:rPr>
              <w:t>月。</w:t>
            </w:r>
          </w:p>
        </w:tc>
        <w:tc>
          <w:tcPr>
            <w:tcW w:w="1824" w:type="dxa"/>
            <w:noWrap w:val="0"/>
            <w:vAlign w:val="top"/>
          </w:tcPr>
          <w:p w14:paraId="1B8E2EF9">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4E729156">
            <w:pPr>
              <w:widowControl/>
              <w:spacing w:line="440" w:lineRule="exact"/>
              <w:jc w:val="left"/>
              <w:textAlignment w:val="center"/>
              <w:rPr>
                <w:rFonts w:hint="eastAsia" w:ascii="仿宋" w:hAnsi="仿宋" w:eastAsia="仿宋" w:cs="仿宋"/>
                <w:sz w:val="28"/>
                <w:szCs w:val="28"/>
                <w:lang w:val="en-US" w:eastAsia="zh-CN"/>
              </w:rPr>
            </w:pPr>
          </w:p>
        </w:tc>
      </w:tr>
      <w:tr w14:paraId="53D5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2" w:type="dxa"/>
            <w:noWrap w:val="0"/>
            <w:vAlign w:val="center"/>
          </w:tcPr>
          <w:p w14:paraId="6CB70A7F">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8</w:t>
            </w:r>
          </w:p>
        </w:tc>
        <w:tc>
          <w:tcPr>
            <w:tcW w:w="6354" w:type="dxa"/>
            <w:noWrap w:val="0"/>
            <w:vAlign w:val="top"/>
          </w:tcPr>
          <w:p w14:paraId="555BEB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b w:val="0"/>
                <w:bCs w:val="0"/>
                <w:sz w:val="28"/>
                <w:szCs w:val="28"/>
                <w:u w:val="none"/>
                <w:lang w:val="en-US" w:eastAsia="zh-CN"/>
              </w:rPr>
              <w:t>产品资质证件齐全。</w:t>
            </w:r>
          </w:p>
        </w:tc>
        <w:tc>
          <w:tcPr>
            <w:tcW w:w="1824" w:type="dxa"/>
            <w:noWrap w:val="0"/>
            <w:vAlign w:val="top"/>
          </w:tcPr>
          <w:p w14:paraId="6DA78329">
            <w:pPr>
              <w:widowControl/>
              <w:spacing w:line="440" w:lineRule="exact"/>
              <w:jc w:val="left"/>
              <w:textAlignment w:val="center"/>
              <w:rPr>
                <w:rFonts w:hint="eastAsia" w:ascii="仿宋" w:hAnsi="仿宋" w:eastAsia="仿宋" w:cs="仿宋"/>
                <w:sz w:val="30"/>
                <w:szCs w:val="30"/>
                <w:lang w:val="en-US" w:eastAsia="zh-CN"/>
              </w:rPr>
            </w:pPr>
          </w:p>
        </w:tc>
        <w:tc>
          <w:tcPr>
            <w:tcW w:w="990" w:type="dxa"/>
            <w:noWrap w:val="0"/>
            <w:vAlign w:val="top"/>
          </w:tcPr>
          <w:p w14:paraId="1B1FBBC8">
            <w:pPr>
              <w:widowControl/>
              <w:spacing w:line="440" w:lineRule="exact"/>
              <w:jc w:val="left"/>
              <w:textAlignment w:val="center"/>
              <w:rPr>
                <w:rFonts w:hint="eastAsia" w:ascii="仿宋" w:hAnsi="仿宋" w:eastAsia="仿宋" w:cs="仿宋"/>
                <w:sz w:val="28"/>
                <w:szCs w:val="28"/>
                <w:lang w:val="en-US" w:eastAsia="zh-CN"/>
              </w:rPr>
            </w:pPr>
          </w:p>
        </w:tc>
      </w:tr>
      <w:tr w14:paraId="6601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0" w:type="auto"/>
            <w:noWrap w:val="0"/>
            <w:vAlign w:val="top"/>
          </w:tcPr>
          <w:p w14:paraId="06CF5357">
            <w:pPr>
              <w:widowControl/>
              <w:spacing w:line="440" w:lineRule="exact"/>
              <w:jc w:val="center"/>
              <w:textAlignment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w:t>
            </w:r>
          </w:p>
        </w:tc>
        <w:tc>
          <w:tcPr>
            <w:tcW w:w="0" w:type="auto"/>
            <w:noWrap w:val="0"/>
            <w:vAlign w:val="top"/>
          </w:tcPr>
          <w:p w14:paraId="4298ACCC">
            <w:pPr>
              <w:keepNext w:val="0"/>
              <w:keepLines w:val="0"/>
              <w:pageBreakBefore w:val="0"/>
              <w:numPr>
                <w:ilvl w:val="0"/>
                <w:numId w:val="0"/>
              </w:numPr>
              <w:kinsoku/>
              <w:wordWrap/>
              <w:overflowPunct/>
              <w:topLinePunct w:val="0"/>
              <w:autoSpaceDE/>
              <w:autoSpaceDN/>
              <w:bidi w:val="0"/>
              <w:adjustRightInd/>
              <w:snapToGrid/>
              <w:spacing w:line="360" w:lineRule="exact"/>
              <w:ind w:left="0" w:leftChars="0" w:firstLine="0" w:firstLineChars="0"/>
              <w:jc w:val="both"/>
              <w:rPr>
                <w:rFonts w:hint="eastAsia" w:ascii="仿宋" w:hAnsi="仿宋" w:eastAsia="仿宋" w:cs="仿宋"/>
                <w:color w:val="auto"/>
                <w:kern w:val="2"/>
                <w:sz w:val="28"/>
                <w:szCs w:val="28"/>
                <w:lang w:val="en-US" w:eastAsia="zh-CN" w:bidi="ar-SA"/>
              </w:rPr>
            </w:pPr>
            <w:r>
              <w:rPr>
                <w:rFonts w:hint="eastAsia" w:ascii="仿宋" w:hAnsi="仿宋" w:eastAsia="仿宋" w:cs="仿宋"/>
                <w:b w:val="0"/>
                <w:bCs w:val="0"/>
                <w:sz w:val="28"/>
                <w:szCs w:val="28"/>
                <w:u w:val="none"/>
                <w:lang w:val="en-US" w:eastAsia="zh-CN"/>
              </w:rPr>
              <w:t>带样品。</w:t>
            </w:r>
          </w:p>
        </w:tc>
        <w:tc>
          <w:tcPr>
            <w:tcW w:w="0" w:type="auto"/>
            <w:noWrap w:val="0"/>
            <w:vAlign w:val="top"/>
          </w:tcPr>
          <w:p w14:paraId="423780E6">
            <w:pPr>
              <w:widowControl/>
              <w:spacing w:line="440" w:lineRule="exact"/>
              <w:jc w:val="left"/>
              <w:textAlignment w:val="center"/>
              <w:rPr>
                <w:rFonts w:hint="eastAsia" w:ascii="仿宋" w:hAnsi="仿宋" w:eastAsia="仿宋" w:cs="仿宋"/>
                <w:sz w:val="30"/>
                <w:szCs w:val="30"/>
                <w:lang w:val="en-US" w:eastAsia="zh-CN"/>
              </w:rPr>
            </w:pPr>
          </w:p>
        </w:tc>
        <w:tc>
          <w:tcPr>
            <w:tcW w:w="0" w:type="auto"/>
            <w:noWrap w:val="0"/>
            <w:vAlign w:val="top"/>
          </w:tcPr>
          <w:p w14:paraId="711C810D">
            <w:pPr>
              <w:widowControl/>
              <w:spacing w:line="440" w:lineRule="exact"/>
              <w:jc w:val="left"/>
              <w:textAlignment w:val="center"/>
              <w:rPr>
                <w:rFonts w:hint="eastAsia" w:ascii="仿宋" w:hAnsi="仿宋" w:eastAsia="仿宋" w:cs="仿宋"/>
                <w:sz w:val="28"/>
                <w:szCs w:val="28"/>
                <w:lang w:val="en-US" w:eastAsia="zh-CN"/>
              </w:rPr>
            </w:pPr>
          </w:p>
        </w:tc>
      </w:tr>
    </w:tbl>
    <w:p w14:paraId="1A418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42" w:firstLineChars="100"/>
        <w:jc w:val="both"/>
        <w:textAlignment w:val="auto"/>
        <w:rPr>
          <w:rFonts w:hint="eastAsia"/>
          <w:b/>
          <w:sz w:val="44"/>
          <w:szCs w:val="44"/>
          <w:u w:val="single"/>
          <w:lang w:val="en-US" w:eastAsia="zh-CN"/>
        </w:rPr>
      </w:pPr>
    </w:p>
    <w:p w14:paraId="44D2CC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1200" w:firstLineChars="400"/>
        <w:jc w:val="both"/>
        <w:textAlignment w:val="auto"/>
        <w:rPr>
          <w:rFonts w:hint="eastAsia"/>
          <w:b/>
          <w:sz w:val="30"/>
          <w:szCs w:val="30"/>
        </w:rPr>
      </w:pPr>
      <w:r>
        <w:rPr>
          <w:rFonts w:hint="eastAsia"/>
          <w:b w:val="0"/>
          <w:bCs/>
          <w:sz w:val="30"/>
          <w:szCs w:val="30"/>
          <w:u w:val="single"/>
          <w:lang w:val="en-US" w:eastAsia="zh-CN"/>
        </w:rPr>
        <w:t xml:space="preserve">卢格氏碘液（粘膜染色剂） </w:t>
      </w:r>
      <w:r>
        <w:rPr>
          <w:rFonts w:hint="eastAsia"/>
          <w:b w:val="0"/>
          <w:bCs/>
          <w:sz w:val="30"/>
          <w:szCs w:val="30"/>
        </w:rPr>
        <w:t>参数要求</w:t>
      </w:r>
    </w:p>
    <w:tbl>
      <w:tblPr>
        <w:tblStyle w:val="5"/>
        <w:tblpPr w:leftFromText="180" w:rightFromText="180" w:vertAnchor="text" w:tblpXSpec="center" w:tblpY="324"/>
        <w:tblOverlap w:val="never"/>
        <w:tblW w:w="10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759"/>
        <w:gridCol w:w="800"/>
        <w:gridCol w:w="880"/>
      </w:tblGrid>
      <w:tr w14:paraId="3249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710" w:type="dxa"/>
            <w:noWrap w:val="0"/>
            <w:vAlign w:val="center"/>
          </w:tcPr>
          <w:p w14:paraId="48CBBCDD">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序号</w:t>
            </w:r>
          </w:p>
        </w:tc>
        <w:tc>
          <w:tcPr>
            <w:tcW w:w="7759" w:type="dxa"/>
            <w:noWrap w:val="0"/>
            <w:vAlign w:val="center"/>
          </w:tcPr>
          <w:p w14:paraId="0950EE91">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参数技术要求</w:t>
            </w:r>
          </w:p>
        </w:tc>
        <w:tc>
          <w:tcPr>
            <w:tcW w:w="800" w:type="dxa"/>
            <w:noWrap w:val="0"/>
            <w:vAlign w:val="center"/>
          </w:tcPr>
          <w:p w14:paraId="4DE75482">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正负偏离指标</w:t>
            </w:r>
          </w:p>
        </w:tc>
        <w:tc>
          <w:tcPr>
            <w:tcW w:w="880" w:type="dxa"/>
            <w:noWrap w:val="0"/>
            <w:vAlign w:val="center"/>
          </w:tcPr>
          <w:p w14:paraId="2C180B57">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备注</w:t>
            </w:r>
          </w:p>
        </w:tc>
      </w:tr>
      <w:tr w14:paraId="66F3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0" w:type="dxa"/>
            <w:noWrap w:val="0"/>
            <w:vAlign w:val="center"/>
          </w:tcPr>
          <w:p w14:paraId="55222DA7">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7759" w:type="dxa"/>
            <w:noWrap w:val="0"/>
            <w:vAlign w:val="center"/>
          </w:tcPr>
          <w:p w14:paraId="444EBAE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仿宋"/>
                <w:color w:val="C00000"/>
                <w:sz w:val="32"/>
                <w:szCs w:val="32"/>
                <w:lang w:val="en-US" w:eastAsia="zh-CN"/>
              </w:rPr>
            </w:pPr>
            <w:r>
              <w:rPr>
                <w:rFonts w:hint="eastAsia" w:ascii="仿宋" w:hAnsi="仿宋" w:eastAsia="仿宋" w:cs="仿宋"/>
                <w:color w:val="auto"/>
                <w:sz w:val="32"/>
                <w:szCs w:val="32"/>
                <w:lang w:val="en-US" w:eastAsia="zh-CN"/>
              </w:rPr>
              <w:t>内镜检查，食管粘膜染色。</w:t>
            </w:r>
          </w:p>
        </w:tc>
        <w:tc>
          <w:tcPr>
            <w:tcW w:w="800" w:type="dxa"/>
            <w:noWrap w:val="0"/>
            <w:vAlign w:val="center"/>
          </w:tcPr>
          <w:p w14:paraId="537111BD">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p>
        </w:tc>
        <w:tc>
          <w:tcPr>
            <w:tcW w:w="880" w:type="dxa"/>
            <w:noWrap w:val="0"/>
            <w:vAlign w:val="center"/>
          </w:tcPr>
          <w:p w14:paraId="74A854AF">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p>
        </w:tc>
      </w:tr>
      <w:tr w14:paraId="3A81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10" w:type="dxa"/>
            <w:noWrap w:val="0"/>
            <w:vAlign w:val="center"/>
          </w:tcPr>
          <w:p w14:paraId="4DC1A043">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p>
        </w:tc>
        <w:tc>
          <w:tcPr>
            <w:tcW w:w="7759" w:type="dxa"/>
            <w:noWrap w:val="0"/>
            <w:vAlign w:val="center"/>
          </w:tcPr>
          <w:p w14:paraId="187C705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基本成分：碘1.2%（w/v）,碘化钾2%（w/v）,溶剂为蒸馏水。</w:t>
            </w:r>
          </w:p>
        </w:tc>
        <w:tc>
          <w:tcPr>
            <w:tcW w:w="800" w:type="dxa"/>
            <w:noWrap w:val="0"/>
            <w:vAlign w:val="center"/>
          </w:tcPr>
          <w:p w14:paraId="40415436">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p>
        </w:tc>
        <w:tc>
          <w:tcPr>
            <w:tcW w:w="880" w:type="dxa"/>
            <w:noWrap w:val="0"/>
            <w:vAlign w:val="center"/>
          </w:tcPr>
          <w:p w14:paraId="7BA1C8BC">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p>
        </w:tc>
      </w:tr>
      <w:tr w14:paraId="3B2A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710" w:type="dxa"/>
            <w:noWrap w:val="0"/>
            <w:vAlign w:val="center"/>
          </w:tcPr>
          <w:p w14:paraId="48D0AF3D">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w:t>
            </w:r>
          </w:p>
        </w:tc>
        <w:tc>
          <w:tcPr>
            <w:tcW w:w="7759" w:type="dxa"/>
            <w:noWrap w:val="0"/>
            <w:vAlign w:val="center"/>
          </w:tcPr>
          <w:p w14:paraId="74FD26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包装剂量≥15ml/支。</w:t>
            </w:r>
          </w:p>
        </w:tc>
        <w:tc>
          <w:tcPr>
            <w:tcW w:w="800" w:type="dxa"/>
            <w:noWrap w:val="0"/>
            <w:vAlign w:val="center"/>
          </w:tcPr>
          <w:p w14:paraId="3075F332">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p>
        </w:tc>
        <w:tc>
          <w:tcPr>
            <w:tcW w:w="880" w:type="dxa"/>
            <w:noWrap w:val="0"/>
            <w:vAlign w:val="center"/>
          </w:tcPr>
          <w:p w14:paraId="204078D9">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仿宋" w:hAnsi="仿宋" w:eastAsia="仿宋" w:cs="仿宋"/>
                <w:color w:val="auto"/>
                <w:sz w:val="32"/>
                <w:szCs w:val="32"/>
              </w:rPr>
            </w:pPr>
          </w:p>
        </w:tc>
      </w:tr>
    </w:tbl>
    <w:p w14:paraId="2421A2BF">
      <w:pPr>
        <w:pStyle w:val="2"/>
        <w:rPr>
          <w:rFonts w:hint="eastAsia" w:ascii="仿宋_GB2312" w:hAnsi="仿宋_GB2312" w:eastAsia="仿宋_GB2312" w:cs="仿宋_GB2312"/>
          <w:color w:val="C00000"/>
          <w:sz w:val="28"/>
          <w:szCs w:val="28"/>
        </w:rPr>
      </w:pPr>
    </w:p>
    <w:p w14:paraId="5BDCBB75">
      <w:pPr>
        <w:pStyle w:val="2"/>
        <w:rPr>
          <w:rFonts w:ascii="仿宋_GB2312" w:hAnsi="仿宋_GB2312" w:eastAsia="仿宋" w:cs="仿宋_GB2312"/>
          <w:sz w:val="30"/>
          <w:szCs w:val="30"/>
        </w:rPr>
      </w:pPr>
      <w:r>
        <w:rPr>
          <w:rFonts w:hint="eastAsia" w:ascii="仿宋_GB2312" w:hAnsi="仿宋_GB2312" w:eastAsia="仿宋_GB2312" w:cs="仿宋_GB2312"/>
          <w:color w:val="C00000"/>
          <w:sz w:val="28"/>
          <w:szCs w:val="28"/>
        </w:rPr>
        <w:t xml:space="preserve">* </w:t>
      </w:r>
      <w:r>
        <w:rPr>
          <w:rFonts w:hint="eastAsia"/>
          <w:color w:val="C00000"/>
          <w:sz w:val="30"/>
          <w:szCs w:val="30"/>
        </w:rPr>
        <w:t>所有参数，仅供招标采购技术指导，部分条款不限于此，不具有产品指定性。</w:t>
      </w:r>
    </w:p>
    <w:p w14:paraId="3052391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3CF41">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74C8">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A0B18">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E3269">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8A36F">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805D5">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611931"/>
    <w:multiLevelType w:val="singleLevel"/>
    <w:tmpl w:val="11611931"/>
    <w:lvl w:ilvl="0" w:tentative="0">
      <w:start w:val="2"/>
      <w:numFmt w:val="decimal"/>
      <w:suff w:val="nothing"/>
      <w:lvlText w:val="%1、"/>
      <w:lvlJc w:val="left"/>
    </w:lvl>
  </w:abstractNum>
  <w:abstractNum w:abstractNumId="1">
    <w:nsid w:val="44F57670"/>
    <w:multiLevelType w:val="singleLevel"/>
    <w:tmpl w:val="44F57670"/>
    <w:lvl w:ilvl="0" w:tentative="0">
      <w:start w:val="2"/>
      <w:numFmt w:val="decimal"/>
      <w:suff w:val="nothing"/>
      <w:lvlText w:val="%1、"/>
      <w:lvlJc w:val="left"/>
      <w:pPr>
        <w:ind w:left="84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CC6"/>
    <w:rsid w:val="000B04E7"/>
    <w:rsid w:val="003E7FF7"/>
    <w:rsid w:val="00512999"/>
    <w:rsid w:val="005B72CA"/>
    <w:rsid w:val="007F1B16"/>
    <w:rsid w:val="007F7CC6"/>
    <w:rsid w:val="008814AB"/>
    <w:rsid w:val="00903D7F"/>
    <w:rsid w:val="26210802"/>
    <w:rsid w:val="2639364C"/>
    <w:rsid w:val="30026180"/>
    <w:rsid w:val="37AD17E4"/>
    <w:rsid w:val="5A9378E0"/>
    <w:rsid w:val="71392707"/>
    <w:rsid w:val="76032BAC"/>
    <w:rsid w:val="79D00993"/>
    <w:rsid w:val="7A263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rPr>
      <w:rFonts w:ascii="Arial" w:hAnsi="Arial"/>
      <w:sz w:val="24"/>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imes New Roman" w:hAnsi="Times New Roman" w:eastAsia="宋体" w:cs="Times New Roman"/>
      <w:kern w:val="2"/>
      <w:sz w:val="18"/>
      <w:szCs w:val="18"/>
    </w:rPr>
  </w:style>
  <w:style w:type="character" w:customStyle="1" w:styleId="8">
    <w:name w:val="页脚 字符"/>
    <w:basedOn w:val="6"/>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1181</Words>
  <Characters>1511</Characters>
  <Lines>11</Lines>
  <Paragraphs>3</Paragraphs>
  <TotalTime>1</TotalTime>
  <ScaleCrop>false</ScaleCrop>
  <LinksUpToDate>false</LinksUpToDate>
  <CharactersWithSpaces>1512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2025-09-10T08:00:00Z</dcterms:created>
  <dc:creator>Administrator</dc:creator>
  <cp:lastModifiedBy>味道</cp:lastModifiedBy>
  <dcterms:modified xsi:type="dcterms:W3CDTF">2025-11-12T06:49:56Z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eyJoZGlkIjoiZTc0NDg2YzNlMTQ1NjE4YjA5ZjhjNTc1NmZlOGY1OGUiLCJ1c2VySWQiOiIzNjk3MjE2NDMifQ==</vt:lpwstr>
  </property>
  <property fmtid="{D5CDD505-2E9C-101B-9397-08002B2CF9AE}" pid="4" name="ICV">
    <vt:lpwstr>22BFEF706FF84BFE9A52A05327ED2FEC_13</vt:lpwstr>
  </property>
</Properties>
</file>