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1F0EF8">
      <w:pPr>
        <w:spacing w:line="440" w:lineRule="exact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视功能检查仪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(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综合验光仪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)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招标参数</w:t>
      </w:r>
    </w:p>
    <w:tbl>
      <w:tblPr>
        <w:tblStyle w:val="5"/>
        <w:tblW w:w="80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6173"/>
        <w:gridCol w:w="1164"/>
      </w:tblGrid>
      <w:tr w14:paraId="FF8FC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B95A4F3E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6173" w:type="dxa"/>
            <w:vAlign w:val="center"/>
          </w:tcPr>
          <w:p w14:paraId="9555CEE7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bookmarkStart w:id="0" w:name="OLE_LINK2"/>
            <w:bookmarkStart w:id="1" w:name="OLE_LINK1"/>
            <w:bookmarkStart w:id="2" w:name="_Hlk217396513"/>
            <w:r>
              <w:rPr>
                <w:rFonts w:hint="eastAsia" w:ascii="宋体" w:hAnsi="宋体" w:eastAsia="宋体" w:cs="宋体"/>
                <w:sz w:val="24"/>
                <w:szCs w:val="24"/>
              </w:rPr>
              <w:t>参数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要求</w:t>
            </w:r>
          </w:p>
        </w:tc>
        <w:tc>
          <w:tcPr>
            <w:tcW w:w="1164" w:type="dxa"/>
            <w:vAlign w:val="center"/>
          </w:tcPr>
          <w:p w14:paraId="764D1C90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偏离表</w:t>
            </w:r>
          </w:p>
        </w:tc>
      </w:tr>
      <w:tr w14:paraId="264DD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exact"/>
          <w:jc w:val="center"/>
        </w:trPr>
        <w:tc>
          <w:tcPr>
            <w:tcW w:w="762" w:type="dxa"/>
            <w:vAlign w:val="center"/>
          </w:tcPr>
          <w:p w14:paraId="5C82FFF0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173" w:type="dxa"/>
            <w:vAlign w:val="center"/>
          </w:tcPr>
          <w:p w14:paraId="42A74DE1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主要用途：屈光手术术前术后视功能诊断、近视防控视功能诊断、弱视视功能诊断、斜视视功能诊断、视疲劳视功能诊断、角膜塑形镜验配视功能诊断、阅读障碍视功能诊断、眼镜验配视功能诊断等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</w:p>
          <w:p w14:paraId="7A5EB6D4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64" w:type="dxa"/>
            <w:vAlign w:val="center"/>
          </w:tcPr>
          <w:p w14:paraId="518DB85A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72BF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AE743CB5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  <w:bookmarkEnd w:id="0"/>
          <w:bookmarkEnd w:id="1"/>
        </w:tc>
        <w:tc>
          <w:tcPr>
            <w:tcW w:w="6173" w:type="dxa"/>
            <w:vAlign w:val="center"/>
          </w:tcPr>
          <w:p w14:paraId="108F7F3E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近视力检查范围：0.1~1.0</w:t>
            </w:r>
          </w:p>
          <w:bookmarkEnd w:id="2"/>
        </w:tc>
        <w:tc>
          <w:tcPr>
            <w:tcW w:w="1164" w:type="dxa"/>
            <w:vAlign w:val="center"/>
          </w:tcPr>
          <w:p w14:paraId="3C90C4CC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D3DDC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721AF504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173" w:type="dxa"/>
            <w:vAlign w:val="center"/>
          </w:tcPr>
          <w:p w14:paraId="D411AF33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近Worth 4dot</w:t>
            </w:r>
            <w:bookmarkStart w:id="3" w:name="OLE_LINK5"/>
            <w:bookmarkStart w:id="4" w:name="OLE_LINK6"/>
            <w:r>
              <w:rPr>
                <w:rFonts w:hint="eastAsia" w:ascii="宋体" w:hAnsi="宋体" w:eastAsia="宋体" w:cs="宋体"/>
                <w:sz w:val="24"/>
                <w:szCs w:val="24"/>
              </w:rPr>
              <w:t>抑制/复视/融像能力</w:t>
            </w:r>
            <w:bookmarkEnd w:id="3"/>
            <w:bookmarkEnd w:id="4"/>
          </w:p>
        </w:tc>
        <w:tc>
          <w:tcPr>
            <w:tcW w:w="1164" w:type="dxa"/>
            <w:vAlign w:val="center"/>
          </w:tcPr>
          <w:p w14:paraId="CD2348DF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9115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2482D63E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173" w:type="dxa"/>
            <w:vAlign w:val="center"/>
          </w:tcPr>
          <w:p w14:paraId="A648C47E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近眼位检查范围：</w:t>
            </w:r>
            <w:bookmarkStart w:id="5" w:name="OLE_LINK7"/>
            <w:bookmarkStart w:id="6" w:name="OLE_LINK8"/>
            <w:r>
              <w:rPr>
                <w:rFonts w:hint="eastAsia" w:ascii="宋体" w:hAnsi="宋体" w:eastAsia="宋体" w:cs="宋体"/>
                <w:sz w:val="24"/>
                <w:szCs w:val="24"/>
              </w:rPr>
              <w:t>水平0~27△，垂直0~16△</w:t>
            </w:r>
            <w:bookmarkEnd w:id="5"/>
            <w:bookmarkEnd w:id="6"/>
          </w:p>
        </w:tc>
        <w:tc>
          <w:tcPr>
            <w:tcW w:w="1164" w:type="dxa"/>
            <w:vAlign w:val="center"/>
          </w:tcPr>
          <w:p w14:paraId="1C7D4D4B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A5904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314191BF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173" w:type="dxa"/>
            <w:vAlign w:val="center"/>
          </w:tcPr>
          <w:p w14:paraId="A015DF9C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调节幅度：</w:t>
            </w:r>
            <w:bookmarkStart w:id="7" w:name="OLE_LINK9"/>
            <w:bookmarkStart w:id="8" w:name="OLE_LINK10"/>
            <w:r>
              <w:rPr>
                <w:rFonts w:hint="eastAsia" w:ascii="宋体" w:hAnsi="宋体" w:eastAsia="宋体" w:cs="宋体"/>
                <w:sz w:val="24"/>
                <w:szCs w:val="24"/>
              </w:rPr>
              <w:t>0D~8.00D</w:t>
            </w:r>
            <w:bookmarkEnd w:id="7"/>
            <w:bookmarkEnd w:id="8"/>
          </w:p>
        </w:tc>
        <w:tc>
          <w:tcPr>
            <w:tcW w:w="1164" w:type="dxa"/>
            <w:vAlign w:val="center"/>
          </w:tcPr>
          <w:p w14:paraId="6FD50178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EF603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2CB759E0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173" w:type="dxa"/>
            <w:vAlign w:val="center"/>
          </w:tcPr>
          <w:p w14:paraId="C143281B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调节灵活度：</w:t>
            </w:r>
            <w:bookmarkStart w:id="9" w:name="OLE_LINK12"/>
            <w:bookmarkStart w:id="10" w:name="OLE_LINK11"/>
            <w:r>
              <w:rPr>
                <w:rFonts w:hint="eastAsia" w:ascii="宋体" w:hAnsi="宋体" w:eastAsia="宋体" w:cs="宋体"/>
                <w:sz w:val="24"/>
                <w:szCs w:val="24"/>
              </w:rPr>
              <w:t>0~21cpm</w:t>
            </w:r>
            <w:bookmarkEnd w:id="9"/>
            <w:bookmarkEnd w:id="10"/>
          </w:p>
        </w:tc>
        <w:tc>
          <w:tcPr>
            <w:tcW w:w="1164" w:type="dxa"/>
            <w:vAlign w:val="center"/>
          </w:tcPr>
          <w:p w14:paraId="05DB2BF3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98C32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762" w:type="dxa"/>
            <w:vAlign w:val="center"/>
          </w:tcPr>
          <w:p w14:paraId="E06AF7C0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173" w:type="dxa"/>
            <w:vAlign w:val="center"/>
          </w:tcPr>
          <w:p w14:paraId="AFF7DD14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NRA检查范围</w:t>
            </w:r>
            <w:bookmarkStart w:id="11" w:name="OLE_LINK16"/>
            <w:bookmarkStart w:id="12" w:name="OLE_LINK15"/>
            <w:r>
              <w:rPr>
                <w:rFonts w:hint="eastAsia" w:ascii="宋体" w:hAnsi="宋体" w:eastAsia="宋体" w:cs="宋体"/>
                <w:sz w:val="24"/>
                <w:szCs w:val="24"/>
              </w:rPr>
              <w:t>0~+2.50D</w:t>
            </w:r>
            <w:bookmarkEnd w:id="11"/>
            <w:bookmarkEnd w:id="12"/>
          </w:p>
        </w:tc>
        <w:tc>
          <w:tcPr>
            <w:tcW w:w="1164" w:type="dxa"/>
            <w:vAlign w:val="center"/>
          </w:tcPr>
          <w:p w14:paraId="375A57F9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B27D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762" w:type="dxa"/>
            <w:vAlign w:val="center"/>
          </w:tcPr>
          <w:p w14:paraId="1306DD0F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6173" w:type="dxa"/>
            <w:vAlign w:val="center"/>
          </w:tcPr>
          <w:p w14:paraId="3C5FD4CA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PRA检查范围：0~-5.50D</w:t>
            </w:r>
          </w:p>
        </w:tc>
        <w:tc>
          <w:tcPr>
            <w:tcW w:w="1164" w:type="dxa"/>
            <w:vAlign w:val="center"/>
          </w:tcPr>
          <w:p w14:paraId="1E1CABC5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3232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2A1F868B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6173" w:type="dxa"/>
            <w:vAlign w:val="center"/>
          </w:tcPr>
          <w:p w14:paraId="D97B3949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近融合</w:t>
            </w:r>
            <w:bookmarkStart w:id="13" w:name="OLE_LINK21"/>
            <w:bookmarkStart w:id="14" w:name="OLE_LINK22"/>
            <w:r>
              <w:rPr>
                <w:rFonts w:hint="eastAsia" w:ascii="宋体" w:hAnsi="宋体" w:eastAsia="宋体" w:cs="宋体"/>
                <w:sz w:val="24"/>
                <w:szCs w:val="24"/>
              </w:rPr>
              <w:t>范围</w:t>
            </w:r>
            <w:bookmarkEnd w:id="13"/>
            <w:bookmarkEnd w:id="14"/>
            <w:r>
              <w:rPr>
                <w:rFonts w:hint="eastAsia" w:ascii="宋体" w:hAnsi="宋体" w:eastAsia="宋体" w:cs="宋体"/>
                <w:sz w:val="24"/>
                <w:szCs w:val="24"/>
              </w:rPr>
              <w:t>：</w:t>
            </w:r>
            <w:bookmarkStart w:id="15" w:name="OLE_LINK17"/>
            <w:bookmarkStart w:id="16" w:name="OLE_LINK18"/>
            <w:r>
              <w:rPr>
                <w:rFonts w:hint="eastAsia" w:ascii="宋体" w:hAnsi="宋体" w:eastAsia="宋体" w:cs="宋体"/>
                <w:sz w:val="24"/>
                <w:szCs w:val="24"/>
              </w:rPr>
              <w:t>0~51△</w:t>
            </w:r>
            <w:bookmarkEnd w:id="15"/>
            <w:bookmarkEnd w:id="16"/>
          </w:p>
        </w:tc>
        <w:tc>
          <w:tcPr>
            <w:tcW w:w="1164" w:type="dxa"/>
            <w:vAlign w:val="center"/>
          </w:tcPr>
          <w:p w14:paraId="6A181C91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93C1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ECA9ED5C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6173" w:type="dxa"/>
            <w:vAlign w:val="center"/>
          </w:tcPr>
          <w:p w14:paraId="FE14A0E6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近水平聚散度：</w:t>
            </w:r>
            <w:bookmarkStart w:id="17" w:name="OLE_LINK20"/>
            <w:bookmarkStart w:id="18" w:name="OLE_LINK19"/>
            <w:r>
              <w:rPr>
                <w:rFonts w:hint="eastAsia" w:ascii="宋体" w:hAnsi="宋体" w:eastAsia="宋体" w:cs="宋体"/>
                <w:sz w:val="24"/>
                <w:szCs w:val="24"/>
              </w:rPr>
              <w:t>模糊点、分裂点、回归点均在0~52△之间</w:t>
            </w:r>
            <w:bookmarkEnd w:id="17"/>
            <w:bookmarkEnd w:id="18"/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164" w:type="dxa"/>
            <w:vAlign w:val="center"/>
          </w:tcPr>
          <w:p w14:paraId="C96BB918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1B3A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D1CEF8A9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6173" w:type="dxa"/>
            <w:vAlign w:val="center"/>
          </w:tcPr>
          <w:p w14:paraId="612721B2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AC/A范围：0~20△/D</w:t>
            </w:r>
          </w:p>
        </w:tc>
        <w:tc>
          <w:tcPr>
            <w:tcW w:w="1164" w:type="dxa"/>
            <w:vAlign w:val="center"/>
          </w:tcPr>
          <w:p w14:paraId="10D5F524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F69E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762" w:type="dxa"/>
            <w:vAlign w:val="center"/>
          </w:tcPr>
          <w:p w14:paraId="4E8CC3A9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6173" w:type="dxa"/>
            <w:vAlign w:val="center"/>
          </w:tcPr>
          <w:p w14:paraId="F64D023B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RDS随机点立体视范围：</w:t>
            </w:r>
            <w:bookmarkStart w:id="19" w:name="OLE_LINK23"/>
            <w:r>
              <w:rPr>
                <w:rFonts w:hint="eastAsia" w:ascii="宋体" w:hAnsi="宋体" w:eastAsia="宋体" w:cs="宋体"/>
                <w:sz w:val="24"/>
                <w:szCs w:val="24"/>
              </w:rPr>
              <w:t>40”~1200”</w:t>
            </w:r>
            <w:bookmarkEnd w:id="19"/>
          </w:p>
        </w:tc>
        <w:tc>
          <w:tcPr>
            <w:tcW w:w="1164" w:type="dxa"/>
            <w:vAlign w:val="center"/>
          </w:tcPr>
          <w:p w14:paraId="A408160B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DA80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762" w:type="dxa"/>
            <w:vAlign w:val="center"/>
          </w:tcPr>
          <w:p w14:paraId="826F0A60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6173" w:type="dxa"/>
            <w:vAlign w:val="center"/>
          </w:tcPr>
          <w:p w14:paraId="642CFB07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Titmus立体视范围：40”~800”</w:t>
            </w:r>
          </w:p>
        </w:tc>
        <w:tc>
          <w:tcPr>
            <w:tcW w:w="1164" w:type="dxa"/>
            <w:vAlign w:val="center"/>
          </w:tcPr>
          <w:p w14:paraId="6CBA6BDB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8DFA3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vAlign w:val="center"/>
          </w:tcPr>
          <w:p w14:paraId="ADAFAFEB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bookmarkStart w:id="20" w:name="OLE_LINK26"/>
            <w:bookmarkStart w:id="21" w:name="OLE_LINK27"/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6173" w:type="dxa"/>
            <w:vAlign w:val="center"/>
          </w:tcPr>
          <w:p w14:paraId="7EB1523A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对比敏感度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4-200cs</w:t>
            </w:r>
          </w:p>
        </w:tc>
        <w:tc>
          <w:tcPr>
            <w:tcW w:w="1164" w:type="dxa"/>
            <w:vAlign w:val="center"/>
          </w:tcPr>
          <w:p w14:paraId="6F40A0B5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2A0F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62" w:type="dxa"/>
            <w:vAlign w:val="center"/>
          </w:tcPr>
          <w:p w14:paraId="214EBDBC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6173" w:type="dxa"/>
            <w:vAlign w:val="center"/>
          </w:tcPr>
          <w:p w14:paraId="BEEBB91F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视觉追随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5.7-28cm/s</w:t>
            </w:r>
          </w:p>
        </w:tc>
        <w:tc>
          <w:tcPr>
            <w:tcW w:w="1164" w:type="dxa"/>
            <w:vAlign w:val="center"/>
          </w:tcPr>
          <w:p w14:paraId="3E83910F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9D15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762" w:type="dxa"/>
            <w:vAlign w:val="center"/>
          </w:tcPr>
          <w:p w14:paraId="FF6C2F01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6173" w:type="dxa"/>
            <w:vAlign w:val="center"/>
          </w:tcPr>
          <w:p w14:paraId="74E27E89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报告图表系统自动出报告并辅助分析、支持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A4打印，检查报告三端可查，app远程操控。</w:t>
            </w:r>
          </w:p>
        </w:tc>
        <w:tc>
          <w:tcPr>
            <w:tcW w:w="1164" w:type="dxa"/>
            <w:shd w:val="clear" w:color="auto" w:fill="auto"/>
            <w:vAlign w:val="center"/>
          </w:tcPr>
          <w:p w14:paraId="1998FA30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</w:tr>
      <w:tr w14:paraId="29562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exact"/>
          <w:jc w:val="center"/>
        </w:trPr>
        <w:tc>
          <w:tcPr>
            <w:tcW w:w="762" w:type="dxa"/>
            <w:vAlign w:val="center"/>
          </w:tcPr>
          <w:p w14:paraId="0FF1823B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6173" w:type="dxa"/>
            <w:vAlign w:val="center"/>
          </w:tcPr>
          <w:p w14:paraId="67C7A28E"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具备自适应检查模式，系统根据被检查者反馈的检查数据自动调整检查项目和适配参数。</w:t>
            </w:r>
          </w:p>
        </w:tc>
        <w:tc>
          <w:tcPr>
            <w:tcW w:w="1164" w:type="dxa"/>
            <w:shd w:val="clear" w:color="auto" w:fill="auto"/>
            <w:vAlign w:val="center"/>
          </w:tcPr>
          <w:p w14:paraId="5D630283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</w:tr>
      <w:tr w14:paraId="1C9F2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762" w:type="dxa"/>
            <w:vAlign w:val="center"/>
          </w:tcPr>
          <w:p w14:paraId="5B769EDE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6173" w:type="dxa"/>
            <w:vAlign w:val="center"/>
          </w:tcPr>
          <w:p w14:paraId="58F04A78"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具备检查报告自动生成功能，图表显示，数据清晰，快速诊断。</w:t>
            </w:r>
          </w:p>
        </w:tc>
        <w:tc>
          <w:tcPr>
            <w:tcW w:w="1164" w:type="dxa"/>
            <w:shd w:val="clear" w:color="auto" w:fill="auto"/>
            <w:vAlign w:val="center"/>
          </w:tcPr>
          <w:p w14:paraId="586CA84E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</w:tr>
      <w:tr w14:paraId="16C8A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exact"/>
          <w:jc w:val="center"/>
        </w:trPr>
        <w:tc>
          <w:tcPr>
            <w:tcW w:w="762" w:type="dxa"/>
            <w:vAlign w:val="center"/>
          </w:tcPr>
          <w:p w14:paraId="0D416709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6173" w:type="dxa"/>
            <w:vAlign w:val="center"/>
          </w:tcPr>
          <w:p w14:paraId="749BA908"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具备双眼视功能量表功能，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可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根据双眼视功能检查数据绘制视功能量表。</w:t>
            </w:r>
          </w:p>
        </w:tc>
        <w:tc>
          <w:tcPr>
            <w:tcW w:w="1164" w:type="dxa"/>
            <w:shd w:val="clear" w:color="auto" w:fill="auto"/>
            <w:vAlign w:val="center"/>
          </w:tcPr>
          <w:p w14:paraId="208D1632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</w:tr>
      <w:tr w14:paraId="04701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exact"/>
          <w:jc w:val="center"/>
        </w:trPr>
        <w:tc>
          <w:tcPr>
            <w:tcW w:w="762" w:type="dxa"/>
            <w:vAlign w:val="center"/>
          </w:tcPr>
          <w:p w14:paraId="71801FFC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6173" w:type="dxa"/>
            <w:vAlign w:val="center"/>
          </w:tcPr>
          <w:p w14:paraId="2AFC7C05"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具备检查数据诊断分析系统，根据检查的数据结果进行全局分析，生成诊断建议；对适应眼别的双眼视功能法则进行分析计算。</w:t>
            </w:r>
          </w:p>
        </w:tc>
        <w:tc>
          <w:tcPr>
            <w:tcW w:w="1164" w:type="dxa"/>
            <w:shd w:val="clear" w:color="auto" w:fill="auto"/>
            <w:vAlign w:val="center"/>
          </w:tcPr>
          <w:p w14:paraId="78244523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</w:tr>
      <w:tr w14:paraId="5FC7F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jc w:val="center"/>
        </w:trPr>
        <w:tc>
          <w:tcPr>
            <w:tcW w:w="762" w:type="dxa"/>
            <w:vAlign w:val="center"/>
          </w:tcPr>
          <w:p w14:paraId="55047A41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6173" w:type="dxa"/>
            <w:vAlign w:val="center"/>
          </w:tcPr>
          <w:p w14:paraId="694AC9C3"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根据视功能检查仪检查结果，自动生成训练方案。</w:t>
            </w:r>
          </w:p>
        </w:tc>
        <w:tc>
          <w:tcPr>
            <w:tcW w:w="1164" w:type="dxa"/>
            <w:shd w:val="clear" w:color="auto" w:fill="auto"/>
            <w:vAlign w:val="center"/>
          </w:tcPr>
          <w:p w14:paraId="489B3CA1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</w:tr>
      <w:tr w14:paraId="3F642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762" w:type="dxa"/>
            <w:vAlign w:val="center"/>
          </w:tcPr>
          <w:p w14:paraId="1708E15E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6173" w:type="dxa"/>
            <w:vAlign w:val="center"/>
          </w:tcPr>
          <w:p w14:paraId="2AEE8281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软件免费升级</w:t>
            </w:r>
          </w:p>
        </w:tc>
        <w:tc>
          <w:tcPr>
            <w:tcW w:w="1164" w:type="dxa"/>
            <w:shd w:val="clear" w:color="auto" w:fill="auto"/>
            <w:vAlign w:val="center"/>
          </w:tcPr>
          <w:p w14:paraId="6D8F41CA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</w:tr>
      <w:tr w14:paraId="205C2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762" w:type="dxa"/>
            <w:vAlign w:val="center"/>
          </w:tcPr>
          <w:p w14:paraId="55F36B94">
            <w:pPr>
              <w:spacing w:after="0"/>
              <w:jc w:val="center"/>
              <w:rPr>
                <w:rFonts w:hint="default" w:ascii="宋体" w:hAnsi="宋体" w:eastAsia="宋体" w:cs="宋体"/>
                <w:color w:val="1F497D" w:themeColor="text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1F497D" w:themeColor="text2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6173" w:type="dxa"/>
            <w:vAlign w:val="center"/>
          </w:tcPr>
          <w:p w14:paraId="38D7606B">
            <w:pPr>
              <w:spacing w:after="0"/>
              <w:rPr>
                <w:rFonts w:hint="eastAsia" w:ascii="宋体" w:hAnsi="宋体" w:eastAsia="宋体" w:cs="宋体"/>
                <w:color w:val="1F497D" w:themeColor="text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1F497D" w:themeColor="text2"/>
                <w:sz w:val="24"/>
                <w:szCs w:val="24"/>
                <w:lang w:eastAsia="zh-CN"/>
              </w:rPr>
              <w:t>具备</w:t>
            </w:r>
            <w:r>
              <w:rPr>
                <w:rFonts w:hint="eastAsia" w:ascii="宋体" w:hAnsi="宋体" w:eastAsia="宋体" w:cs="宋体"/>
                <w:color w:val="1F497D" w:themeColor="text2"/>
                <w:sz w:val="24"/>
                <w:szCs w:val="24"/>
                <w:lang w:val="en-US" w:eastAsia="zh-CN"/>
              </w:rPr>
              <w:t>二类</w:t>
            </w:r>
            <w:r>
              <w:rPr>
                <w:rFonts w:hint="eastAsia" w:ascii="宋体" w:hAnsi="宋体" w:eastAsia="宋体" w:cs="宋体"/>
                <w:color w:val="1F497D" w:themeColor="text2"/>
                <w:sz w:val="24"/>
                <w:szCs w:val="24"/>
                <w:lang w:eastAsia="zh-CN"/>
              </w:rPr>
              <w:t>医疗器械注册证</w:t>
            </w:r>
          </w:p>
        </w:tc>
        <w:tc>
          <w:tcPr>
            <w:tcW w:w="1164" w:type="dxa"/>
            <w:shd w:val="clear" w:color="auto" w:fill="auto"/>
            <w:vAlign w:val="center"/>
          </w:tcPr>
          <w:p w14:paraId="00D9B518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</w:tr>
      <w:tr w14:paraId="6EF11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762" w:type="dxa"/>
            <w:vAlign w:val="center"/>
          </w:tcPr>
          <w:p w14:paraId="BA46D42E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6173" w:type="dxa"/>
            <w:vAlign w:val="center"/>
          </w:tcPr>
          <w:p w14:paraId="86EA155B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设备生产日期：2025年6月1日以后生产。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设备使用年限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5年。</w:t>
            </w:r>
          </w:p>
        </w:tc>
        <w:tc>
          <w:tcPr>
            <w:tcW w:w="1164" w:type="dxa"/>
            <w:vAlign w:val="center"/>
          </w:tcPr>
          <w:p w14:paraId="42A632C2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bookmarkEnd w:id="20"/>
      <w:bookmarkEnd w:id="21"/>
      <w:tr w14:paraId="FC756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762" w:type="dxa"/>
            <w:vAlign w:val="center"/>
          </w:tcPr>
          <w:p w14:paraId="FCD99849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6173" w:type="dxa"/>
            <w:vAlign w:val="center"/>
          </w:tcPr>
          <w:p w14:paraId="FDA3CC4D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质保期：自验收合格日起≥3年。</w:t>
            </w:r>
          </w:p>
        </w:tc>
        <w:tc>
          <w:tcPr>
            <w:tcW w:w="1164" w:type="dxa"/>
            <w:vAlign w:val="center"/>
          </w:tcPr>
          <w:p w14:paraId="0ECEEB46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9C1C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762" w:type="dxa"/>
            <w:vAlign w:val="center"/>
          </w:tcPr>
          <w:p w14:paraId="1D4177D6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6173" w:type="dxa"/>
            <w:vAlign w:val="center"/>
          </w:tcPr>
          <w:p w14:paraId="6D326530">
            <w:pPr>
              <w:spacing w:after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提供配置清单。</w:t>
            </w:r>
          </w:p>
        </w:tc>
        <w:tc>
          <w:tcPr>
            <w:tcW w:w="1164" w:type="dxa"/>
            <w:vAlign w:val="center"/>
          </w:tcPr>
          <w:p w14:paraId="6CC80D8C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0A2BB715">
      <w:pPr>
        <w:numPr>
          <w:ilvl w:val="0"/>
          <w:numId w:val="0"/>
        </w:num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color w:val="FF0000"/>
          <w:lang w:eastAsia="zh-CN"/>
        </w:rPr>
        <w:t>注：技术偏离表中注明证明材料</w:t>
      </w:r>
      <w:r>
        <w:rPr>
          <w:rFonts w:hint="eastAsia"/>
          <w:color w:val="FF0000"/>
          <w:lang w:eastAsia="zh-CN"/>
        </w:rPr>
        <w:t>（说明书或技术白皮书）</w:t>
      </w:r>
      <w:bookmarkStart w:id="42" w:name="_GoBack"/>
      <w:bookmarkEnd w:id="42"/>
      <w:r>
        <w:rPr>
          <w:rFonts w:hint="eastAsia" w:ascii="宋体" w:hAnsi="宋体" w:eastAsia="宋体" w:cs="宋体"/>
          <w:color w:val="FF0000"/>
          <w:lang w:eastAsia="zh-CN"/>
        </w:rPr>
        <w:t>的页码并标注行号，提供不全或未提供的视为负偏离。</w:t>
      </w:r>
    </w:p>
    <w:p w14:paraId="511C26BF">
      <w:pPr>
        <w:jc w:val="center"/>
        <w:rPr>
          <w:rFonts w:hint="eastAsia" w:asciiTheme="majorEastAsia" w:hAnsiTheme="majorEastAsia" w:eastAsiaTheme="majorEastAsia" w:cstheme="majorEastAsia"/>
          <w:b/>
          <w:bCs/>
          <w:sz w:val="30"/>
          <w:szCs w:val="30"/>
        </w:rPr>
      </w:pPr>
    </w:p>
    <w:p w14:paraId="A0CAFE73">
      <w:pPr>
        <w:jc w:val="center"/>
        <w:rPr>
          <w:rFonts w:hint="eastAsia" w:asciiTheme="majorEastAsia" w:hAnsiTheme="majorEastAsia" w:eastAsiaTheme="majorEastAsia" w:cstheme="majorEastAsia"/>
          <w:b/>
          <w:bCs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</w:rPr>
        <w:t>弱视近视综合治疗仪（视觉训练仪）招标参数</w:t>
      </w:r>
    </w:p>
    <w:tbl>
      <w:tblPr>
        <w:tblStyle w:val="5"/>
        <w:tblW w:w="84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0"/>
        <w:gridCol w:w="6141"/>
        <w:gridCol w:w="1308"/>
      </w:tblGrid>
      <w:tr w14:paraId="B1614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vAlign w:val="center"/>
          </w:tcPr>
          <w:p w14:paraId="B9398CC0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序号</w:t>
            </w:r>
          </w:p>
        </w:tc>
        <w:tc>
          <w:tcPr>
            <w:tcW w:w="6141" w:type="dxa"/>
            <w:vAlign w:val="center"/>
          </w:tcPr>
          <w:p w14:paraId="A7CBF024">
            <w:pPr>
              <w:ind w:firstLine="1920" w:firstLineChars="80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参数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要求</w:t>
            </w:r>
          </w:p>
        </w:tc>
        <w:tc>
          <w:tcPr>
            <w:tcW w:w="1308" w:type="dxa"/>
            <w:vAlign w:val="center"/>
          </w:tcPr>
          <w:p w14:paraId="9F17AA1C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偏离表</w:t>
            </w:r>
          </w:p>
        </w:tc>
      </w:tr>
      <w:tr w14:paraId="3A5A1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exact"/>
          <w:jc w:val="center"/>
        </w:trPr>
        <w:tc>
          <w:tcPr>
            <w:tcW w:w="1030" w:type="dxa"/>
            <w:vAlign w:val="center"/>
          </w:tcPr>
          <w:p w14:paraId="231FD06F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141" w:type="dxa"/>
            <w:vAlign w:val="center"/>
          </w:tcPr>
          <w:p w14:paraId="1C39BF3E"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主要用途：适用于各类型功能性眼病康复，包括近视激光手术、角膜塑形镜验配、近视防控、斜弱视治疗、视疲劳症状改善、老视、验光配镜等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提升视力、改善调节、融像等功能性指标异常。</w:t>
            </w:r>
          </w:p>
          <w:p w14:paraId="63050743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14:paraId="010E2A42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7B94E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exact"/>
          <w:jc w:val="center"/>
        </w:trPr>
        <w:tc>
          <w:tcPr>
            <w:tcW w:w="1030" w:type="dxa"/>
            <w:vAlign w:val="center"/>
          </w:tcPr>
          <w:p w14:paraId="73DCA519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141" w:type="dxa"/>
            <w:vAlign w:val="center"/>
          </w:tcPr>
          <w:p w14:paraId="1A3B7A11"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主要训练项目：</w:t>
            </w:r>
          </w:p>
          <w:p w14:paraId="683D3856"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调节训练（调节灵敏度、调节幅度、镜片阅读）</w:t>
            </w:r>
          </w:p>
          <w:p w14:paraId="30C5B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融像训练（静态融像、动态融像、融像综合）</w:t>
            </w:r>
          </w:p>
          <w:p w14:paraId="4AC6A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弱视训练（脱抑制训练、红闪训练、光栅训练）</w:t>
            </w:r>
          </w:p>
          <w:p w14:paraId="513D8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注视功能（精细目力、眼肌运动、扫视训练、视觉专注）</w:t>
            </w:r>
          </w:p>
          <w:p w14:paraId="6B1A78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14:paraId="0996ECEB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7A950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vAlign w:val="center"/>
          </w:tcPr>
          <w:p w14:paraId="1807C408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141" w:type="dxa"/>
            <w:vAlign w:val="center"/>
          </w:tcPr>
          <w:p w14:paraId="B4D5906E">
            <w:pPr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调节幅度训练范围：0~8D</w:t>
            </w:r>
          </w:p>
        </w:tc>
        <w:tc>
          <w:tcPr>
            <w:tcW w:w="1308" w:type="dxa"/>
            <w:vAlign w:val="center"/>
          </w:tcPr>
          <w:p w14:paraId="A80FFB4E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436CE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vAlign w:val="center"/>
          </w:tcPr>
          <w:p w14:paraId="71037D5E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141" w:type="dxa"/>
            <w:vAlign w:val="center"/>
          </w:tcPr>
          <w:p w14:paraId="A9A18952">
            <w:pPr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调节灵活度训练</w:t>
            </w:r>
            <w:bookmarkStart w:id="22" w:name="OLE_LINK30"/>
            <w:bookmarkStart w:id="23" w:name="OLE_LINK31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调节</w:t>
            </w:r>
            <w:bookmarkEnd w:id="22"/>
            <w:bookmarkEnd w:id="23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范围：±1.00~±2.00</w:t>
            </w:r>
          </w:p>
        </w:tc>
        <w:tc>
          <w:tcPr>
            <w:tcW w:w="1308" w:type="dxa"/>
            <w:vAlign w:val="center"/>
          </w:tcPr>
          <w:p w14:paraId="0C061D2A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CCAE1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vAlign w:val="center"/>
          </w:tcPr>
          <w:p w14:paraId="244D752D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141" w:type="dxa"/>
            <w:vAlign w:val="center"/>
          </w:tcPr>
          <w:p w14:paraId="9C6D6DA7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融像训练融合范围：0~30△（集合）、0~28△（散开）</w:t>
            </w:r>
          </w:p>
        </w:tc>
        <w:tc>
          <w:tcPr>
            <w:tcW w:w="1308" w:type="dxa"/>
            <w:vAlign w:val="center"/>
          </w:tcPr>
          <w:p w14:paraId="6D1FA60C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28639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vAlign w:val="center"/>
          </w:tcPr>
          <w:p w14:paraId="966FB414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141" w:type="dxa"/>
            <w:vAlign w:val="center"/>
          </w:tcPr>
          <w:p w14:paraId="69C6D619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bookmarkStart w:id="24" w:name="OLE_LINK33"/>
            <w:bookmarkStart w:id="25" w:name="OLE_LINK32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光栅训练空间频率范围</w:t>
            </w:r>
            <w:bookmarkEnd w:id="24"/>
            <w:bookmarkEnd w:id="25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：</w:t>
            </w:r>
            <w:bookmarkStart w:id="26" w:name="OLE_LINK35"/>
            <w:bookmarkStart w:id="27" w:name="OLE_LINK34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30周/度~120周/度</w:t>
            </w:r>
            <w:bookmarkEnd w:id="26"/>
            <w:bookmarkEnd w:id="27"/>
          </w:p>
        </w:tc>
        <w:tc>
          <w:tcPr>
            <w:tcW w:w="1308" w:type="dxa"/>
            <w:vAlign w:val="center"/>
          </w:tcPr>
          <w:p w14:paraId="C05B4ADD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F7D8B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vAlign w:val="center"/>
          </w:tcPr>
          <w:p w14:paraId="A314109C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141" w:type="dxa"/>
            <w:vAlign w:val="center"/>
          </w:tcPr>
          <w:p w14:paraId="9D6D83F5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bookmarkStart w:id="28" w:name="OLE_LINK39"/>
            <w:bookmarkStart w:id="29" w:name="OLE_LINK38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红闪训练波长范围</w:t>
            </w:r>
            <w:bookmarkEnd w:id="28"/>
            <w:bookmarkEnd w:id="29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：630~640nm</w:t>
            </w:r>
          </w:p>
        </w:tc>
        <w:tc>
          <w:tcPr>
            <w:tcW w:w="1308" w:type="dxa"/>
            <w:vAlign w:val="center"/>
          </w:tcPr>
          <w:p w14:paraId="E312455D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28F61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vAlign w:val="center"/>
          </w:tcPr>
          <w:p w14:paraId="D8C212F0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6141" w:type="dxa"/>
            <w:vAlign w:val="center"/>
          </w:tcPr>
          <w:p w14:paraId="B9C80F66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bookmarkStart w:id="30" w:name="OLE_LINK41"/>
            <w:bookmarkStart w:id="31" w:name="OLE_LINK40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精细目力训练适应视力范围</w:t>
            </w:r>
            <w:bookmarkEnd w:id="30"/>
            <w:bookmarkEnd w:id="31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：0.1~0.8（VA cc）</w:t>
            </w:r>
          </w:p>
        </w:tc>
        <w:tc>
          <w:tcPr>
            <w:tcW w:w="1308" w:type="dxa"/>
            <w:vAlign w:val="center"/>
          </w:tcPr>
          <w:p w14:paraId="488BD338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AF4E7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vAlign w:val="center"/>
          </w:tcPr>
          <w:p w14:paraId="FA477610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6141" w:type="dxa"/>
            <w:vAlign w:val="center"/>
          </w:tcPr>
          <w:p w14:paraId="B1001675">
            <w:pPr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连接方式：WIFI、蓝牙等</w:t>
            </w:r>
          </w:p>
        </w:tc>
        <w:tc>
          <w:tcPr>
            <w:tcW w:w="1308" w:type="dxa"/>
            <w:vAlign w:val="center"/>
          </w:tcPr>
          <w:p w14:paraId="32E70523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F023D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vAlign w:val="center"/>
          </w:tcPr>
          <w:p w14:paraId="EEA9CE75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6141" w:type="dxa"/>
            <w:vAlign w:val="center"/>
          </w:tcPr>
          <w:p w14:paraId="E7B3FD8F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eastAsia="zh-CN"/>
              </w:rPr>
              <w:t>具备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光耦传感器</w:t>
            </w:r>
          </w:p>
        </w:tc>
        <w:tc>
          <w:tcPr>
            <w:tcW w:w="1308" w:type="dxa"/>
            <w:vAlign w:val="center"/>
          </w:tcPr>
          <w:p w14:paraId="C773345A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CAF5E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vAlign w:val="center"/>
          </w:tcPr>
          <w:p w14:paraId="A34BD08C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6141" w:type="dxa"/>
            <w:vAlign w:val="center"/>
          </w:tcPr>
          <w:p w14:paraId="7FC998CB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bookmarkStart w:id="32" w:name="OLE_LINK47"/>
            <w:bookmarkStart w:id="33" w:name="OLE_LINK46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显示屏</w:t>
            </w:r>
            <w:bookmarkEnd w:id="32"/>
            <w:bookmarkEnd w:id="33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：≥10.1寸 / 1920*1200分辨率</w:t>
            </w:r>
          </w:p>
        </w:tc>
        <w:tc>
          <w:tcPr>
            <w:tcW w:w="1308" w:type="dxa"/>
            <w:vAlign w:val="center"/>
          </w:tcPr>
          <w:p w14:paraId="DCAA63C1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5A1BF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vAlign w:val="center"/>
          </w:tcPr>
          <w:p w14:paraId="6488DA70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6141" w:type="dxa"/>
            <w:vAlign w:val="center"/>
          </w:tcPr>
          <w:p w14:paraId="035C4070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bookmarkStart w:id="34" w:name="OLE_LINK48"/>
            <w:bookmarkStart w:id="35" w:name="OLE_LINK49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镜片组合</w:t>
            </w:r>
            <w:bookmarkEnd w:id="34"/>
            <w:bookmarkEnd w:id="35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：≥12组精密光学镜片组合</w:t>
            </w:r>
          </w:p>
        </w:tc>
        <w:tc>
          <w:tcPr>
            <w:tcW w:w="1308" w:type="dxa"/>
            <w:vAlign w:val="center"/>
          </w:tcPr>
          <w:p w14:paraId="B852CB84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A8105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vAlign w:val="center"/>
          </w:tcPr>
          <w:p w14:paraId="CCA382C3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6141" w:type="dxa"/>
            <w:vAlign w:val="center"/>
          </w:tcPr>
          <w:p w14:paraId="8F29895A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bookmarkStart w:id="36" w:name="OLE_LINK50"/>
            <w:bookmarkStart w:id="37" w:name="OLE_LINK51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瞳距调节</w:t>
            </w:r>
            <w:bookmarkEnd w:id="36"/>
            <w:bookmarkEnd w:id="37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：50mm~70mm</w:t>
            </w:r>
          </w:p>
        </w:tc>
        <w:tc>
          <w:tcPr>
            <w:tcW w:w="1308" w:type="dxa"/>
            <w:vAlign w:val="center"/>
          </w:tcPr>
          <w:p w14:paraId="DB45C866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38ACA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vAlign w:val="center"/>
          </w:tcPr>
          <w:p w14:paraId="C892184E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6141" w:type="dxa"/>
            <w:vAlign w:val="center"/>
          </w:tcPr>
          <w:p w14:paraId="0AD03410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bookmarkStart w:id="38" w:name="OLE_LINK52"/>
            <w:bookmarkStart w:id="39" w:name="OLE_LINK53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视频接口</w:t>
            </w:r>
            <w:bookmarkEnd w:id="38"/>
            <w:bookmarkEnd w:id="39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：</w:t>
            </w:r>
            <w:bookmarkStart w:id="40" w:name="OLE_LINK54"/>
            <w:bookmarkStart w:id="41" w:name="OLE_LINK55"/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LVDS输出、外接视频接口采用HDMI接口</w:t>
            </w:r>
            <w:bookmarkEnd w:id="40"/>
            <w:bookmarkEnd w:id="41"/>
          </w:p>
        </w:tc>
        <w:tc>
          <w:tcPr>
            <w:tcW w:w="1308" w:type="dxa"/>
            <w:vAlign w:val="center"/>
          </w:tcPr>
          <w:p w14:paraId="51FB006F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A9585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vAlign w:val="center"/>
          </w:tcPr>
          <w:p w14:paraId="11A9E08B">
            <w:pPr>
              <w:jc w:val="center"/>
              <w:rPr>
                <w:rFonts w:hint="default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6141" w:type="dxa"/>
            <w:vAlign w:val="center"/>
          </w:tcPr>
          <w:p w14:paraId="D588317C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/>
              </w:rPr>
              <w:t>云端训练数据存储，智能实时生成报告，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eastAsia="zh-CN"/>
              </w:rPr>
              <w:t>训练报告三端可查，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/>
              </w:rPr>
              <w:t>app远程操控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38F3D88C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</w:pPr>
          </w:p>
        </w:tc>
      </w:tr>
      <w:tr w14:paraId="403F8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shd w:val="clear" w:color="auto" w:fill="auto"/>
            <w:vAlign w:val="center"/>
          </w:tcPr>
          <w:p w14:paraId="3E68A533">
            <w:pPr>
              <w:jc w:val="center"/>
              <w:rPr>
                <w:rFonts w:hint="default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6141" w:type="dxa"/>
            <w:vAlign w:val="center"/>
          </w:tcPr>
          <w:p w14:paraId="3742706F">
            <w:pPr>
              <w:jc w:val="left"/>
              <w:rPr>
                <w:rFonts w:hint="default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/>
              </w:rPr>
              <w:t>具备方案库，可自动匹配针对性训练项目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58FA2EDC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</w:pPr>
          </w:p>
        </w:tc>
      </w:tr>
      <w:tr w14:paraId="69B7A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shd w:val="clear" w:color="auto" w:fill="auto"/>
            <w:vAlign w:val="center"/>
          </w:tcPr>
          <w:p w14:paraId="13016C30">
            <w:pPr>
              <w:jc w:val="center"/>
              <w:rPr>
                <w:rFonts w:hint="default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  <w:t>17</w:t>
            </w:r>
          </w:p>
        </w:tc>
        <w:tc>
          <w:tcPr>
            <w:tcW w:w="6141" w:type="dxa"/>
            <w:vAlign w:val="center"/>
          </w:tcPr>
          <w:p w14:paraId="27038A64">
            <w:pPr>
              <w:jc w:val="left"/>
              <w:rPr>
                <w:rFonts w:hint="default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/>
              </w:rPr>
              <w:t>软件免费升级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2E7ADCA9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</w:pPr>
          </w:p>
        </w:tc>
      </w:tr>
      <w:tr w14:paraId="2096D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shd w:val="clear" w:color="auto" w:fill="auto"/>
            <w:vAlign w:val="center"/>
          </w:tcPr>
          <w:p w14:paraId="243E2384">
            <w:pPr>
              <w:jc w:val="center"/>
              <w:rPr>
                <w:rFonts w:hint="default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  <w:t>18</w:t>
            </w:r>
          </w:p>
        </w:tc>
        <w:tc>
          <w:tcPr>
            <w:tcW w:w="6141" w:type="dxa"/>
            <w:vAlign w:val="center"/>
          </w:tcPr>
          <w:p w14:paraId="346499B2">
            <w:pPr>
              <w:jc w:val="left"/>
              <w:rPr>
                <w:rFonts w:hint="default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FF"/>
                <w:sz w:val="24"/>
                <w:szCs w:val="24"/>
                <w:lang w:eastAsia="zh-CN"/>
              </w:rPr>
              <w:t>具备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sz w:val="24"/>
                <w:szCs w:val="24"/>
                <w:lang w:val="en-US" w:eastAsia="zh-CN"/>
              </w:rPr>
              <w:t>二类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sz w:val="24"/>
                <w:szCs w:val="24"/>
                <w:lang w:eastAsia="zh-CN"/>
              </w:rPr>
              <w:t>医疗器械注册证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0DC156DC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</w:pPr>
          </w:p>
        </w:tc>
      </w:tr>
      <w:tr w14:paraId="5B621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  <w:jc w:val="center"/>
        </w:trPr>
        <w:tc>
          <w:tcPr>
            <w:tcW w:w="1030" w:type="dxa"/>
            <w:shd w:val="clear" w:color="auto" w:fill="auto"/>
            <w:vAlign w:val="center"/>
          </w:tcPr>
          <w:p w14:paraId="3CBF5500">
            <w:pPr>
              <w:jc w:val="center"/>
              <w:rPr>
                <w:rFonts w:hint="default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  <w:t>19</w:t>
            </w:r>
          </w:p>
        </w:tc>
        <w:tc>
          <w:tcPr>
            <w:tcW w:w="6141" w:type="dxa"/>
            <w:vAlign w:val="center"/>
          </w:tcPr>
          <w:p w14:paraId="19241384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设备生产日期：2025年6月1日以后生产。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设备使用年限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5年。</w:t>
            </w:r>
          </w:p>
        </w:tc>
        <w:tc>
          <w:tcPr>
            <w:tcW w:w="1308" w:type="dxa"/>
            <w:vAlign w:val="center"/>
          </w:tcPr>
          <w:p w14:paraId="6BC38CBA">
            <w:pPr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</w:pPr>
          </w:p>
        </w:tc>
      </w:tr>
      <w:tr w14:paraId="31F01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shd w:val="clear" w:color="auto" w:fill="auto"/>
            <w:vAlign w:val="center"/>
          </w:tcPr>
          <w:p w14:paraId="655E0C17">
            <w:pPr>
              <w:jc w:val="center"/>
              <w:rPr>
                <w:rFonts w:hint="default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  <w:t>20</w:t>
            </w:r>
          </w:p>
        </w:tc>
        <w:tc>
          <w:tcPr>
            <w:tcW w:w="6141" w:type="dxa"/>
            <w:vAlign w:val="center"/>
          </w:tcPr>
          <w:p w14:paraId="F2425485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质保期：自验收合格日起≥3年。</w:t>
            </w:r>
          </w:p>
        </w:tc>
        <w:tc>
          <w:tcPr>
            <w:tcW w:w="1308" w:type="dxa"/>
            <w:vAlign w:val="center"/>
          </w:tcPr>
          <w:p w14:paraId="B7377FEC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7A515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0" w:type="dxa"/>
            <w:shd w:val="clear" w:color="auto" w:fill="auto"/>
            <w:vAlign w:val="center"/>
          </w:tcPr>
          <w:p w14:paraId="21DA9AD5">
            <w:pPr>
              <w:jc w:val="center"/>
              <w:rPr>
                <w:rFonts w:hint="default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 w:bidi="ar-SA"/>
              </w:rPr>
              <w:t>21</w:t>
            </w:r>
          </w:p>
        </w:tc>
        <w:tc>
          <w:tcPr>
            <w:tcW w:w="6141" w:type="dxa"/>
            <w:vAlign w:val="center"/>
          </w:tcPr>
          <w:p w14:paraId="68329078">
            <w:pPr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eastAsia="zh-CN"/>
              </w:rPr>
              <w:t>提供配置清单。</w:t>
            </w:r>
          </w:p>
        </w:tc>
        <w:tc>
          <w:tcPr>
            <w:tcW w:w="1308" w:type="dxa"/>
            <w:vAlign w:val="center"/>
          </w:tcPr>
          <w:p w14:paraId="402B5691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</w:tbl>
    <w:p w14:paraId="2B059AE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textAlignment w:val="auto"/>
        <w:rPr>
          <w:rFonts w:hint="eastAsia"/>
          <w:color w:val="FF0000"/>
          <w:lang w:eastAsia="zh-CN"/>
        </w:rPr>
      </w:pPr>
      <w:r>
        <w:rPr>
          <w:rFonts w:hint="eastAsia"/>
          <w:color w:val="FF0000"/>
          <w:lang w:eastAsia="zh-CN"/>
        </w:rPr>
        <w:t>注：技术偏离表中注明证明材料（说明书或技术白皮书）的页码并标注行号，提供不全或未提供的视为负偏离。</w:t>
      </w:r>
    </w:p>
    <w:p w14:paraId="27461283">
      <w:pPr>
        <w:spacing w:line="440" w:lineRule="exact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训练工具</w:t>
      </w:r>
    </w:p>
    <w:tbl>
      <w:tblPr>
        <w:tblStyle w:val="5"/>
        <w:tblW w:w="80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6173"/>
        <w:gridCol w:w="1164"/>
      </w:tblGrid>
      <w:tr w14:paraId="00CAD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38B9EA1B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6173" w:type="dxa"/>
            <w:vAlign w:val="center"/>
          </w:tcPr>
          <w:p w14:paraId="1FF9245F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产品名称</w:t>
            </w:r>
          </w:p>
        </w:tc>
        <w:tc>
          <w:tcPr>
            <w:tcW w:w="1164" w:type="dxa"/>
            <w:vAlign w:val="center"/>
          </w:tcPr>
          <w:p w14:paraId="108EAE89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数量</w:t>
            </w:r>
          </w:p>
        </w:tc>
      </w:tr>
      <w:tr w14:paraId="12A6C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exact"/>
          <w:jc w:val="center"/>
        </w:trPr>
        <w:tc>
          <w:tcPr>
            <w:tcW w:w="762" w:type="dxa"/>
            <w:vAlign w:val="center"/>
          </w:tcPr>
          <w:p w14:paraId="4E2F85BB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173" w:type="dxa"/>
            <w:vAlign w:val="center"/>
          </w:tcPr>
          <w:p w14:paraId="7A344F95">
            <w:pPr>
              <w:spacing w:after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视可塑电动数字翻转拍</w:t>
            </w:r>
          </w:p>
        </w:tc>
        <w:tc>
          <w:tcPr>
            <w:tcW w:w="1164" w:type="dxa"/>
            <w:vAlign w:val="center"/>
          </w:tcPr>
          <w:p w14:paraId="7048DD52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</w:p>
        </w:tc>
      </w:tr>
      <w:tr w14:paraId="7B078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174A39F9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173" w:type="dxa"/>
            <w:vAlign w:val="center"/>
          </w:tcPr>
          <w:p w14:paraId="3AE3AB5A">
            <w:pPr>
              <w:spacing w:after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远近字母表</w:t>
            </w:r>
          </w:p>
        </w:tc>
        <w:tc>
          <w:tcPr>
            <w:tcW w:w="1164" w:type="dxa"/>
            <w:vAlign w:val="center"/>
          </w:tcPr>
          <w:p w14:paraId="1A293970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</w:tr>
      <w:tr w14:paraId="34F15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73C16C7B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173" w:type="dxa"/>
            <w:vAlign w:val="center"/>
          </w:tcPr>
          <w:p w14:paraId="4E566880">
            <w:pPr>
              <w:spacing w:after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聚散球</w:t>
            </w:r>
          </w:p>
        </w:tc>
        <w:tc>
          <w:tcPr>
            <w:tcW w:w="1164" w:type="dxa"/>
            <w:vAlign w:val="center"/>
          </w:tcPr>
          <w:p w14:paraId="414A9294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</w:tr>
      <w:tr w14:paraId="33602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5F408E9E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173" w:type="dxa"/>
            <w:vAlign w:val="center"/>
          </w:tcPr>
          <w:p w14:paraId="0E53FEDF">
            <w:pPr>
              <w:spacing w:after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裂隙尺</w:t>
            </w:r>
          </w:p>
        </w:tc>
        <w:tc>
          <w:tcPr>
            <w:tcW w:w="1164" w:type="dxa"/>
            <w:vAlign w:val="center"/>
          </w:tcPr>
          <w:p w14:paraId="2DF89865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</w:tr>
      <w:tr w14:paraId="600A8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204E835F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173" w:type="dxa"/>
            <w:vAlign w:val="center"/>
          </w:tcPr>
          <w:p w14:paraId="584D9F0B">
            <w:pPr>
              <w:spacing w:after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红绿矢量图</w:t>
            </w:r>
          </w:p>
        </w:tc>
        <w:tc>
          <w:tcPr>
            <w:tcW w:w="1164" w:type="dxa"/>
            <w:vAlign w:val="center"/>
          </w:tcPr>
          <w:p w14:paraId="4BC49235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</w:tr>
      <w:tr w14:paraId="60E02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49A0B8A5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173" w:type="dxa"/>
            <w:vAlign w:val="center"/>
          </w:tcPr>
          <w:p w14:paraId="3F186908">
            <w:pPr>
              <w:spacing w:after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集合卡</w:t>
            </w:r>
          </w:p>
        </w:tc>
        <w:tc>
          <w:tcPr>
            <w:tcW w:w="1164" w:type="dxa"/>
            <w:vAlign w:val="center"/>
          </w:tcPr>
          <w:p w14:paraId="190F78E6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</w:tr>
      <w:tr w14:paraId="6619A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762" w:type="dxa"/>
            <w:vAlign w:val="center"/>
          </w:tcPr>
          <w:p w14:paraId="0C729363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173" w:type="dxa"/>
            <w:vAlign w:val="center"/>
          </w:tcPr>
          <w:p w14:paraId="663765BD">
            <w:pPr>
              <w:spacing w:after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救生圈</w:t>
            </w:r>
          </w:p>
        </w:tc>
        <w:tc>
          <w:tcPr>
            <w:tcW w:w="1164" w:type="dxa"/>
            <w:vAlign w:val="center"/>
          </w:tcPr>
          <w:p w14:paraId="6FFFE489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</w:tr>
      <w:tr w14:paraId="5402F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762" w:type="dxa"/>
            <w:vAlign w:val="center"/>
          </w:tcPr>
          <w:p w14:paraId="162A71DE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6173" w:type="dxa"/>
            <w:vAlign w:val="center"/>
          </w:tcPr>
          <w:p w14:paraId="1B68E583">
            <w:pPr>
              <w:spacing w:after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单侧实体镜</w:t>
            </w:r>
          </w:p>
        </w:tc>
        <w:tc>
          <w:tcPr>
            <w:tcW w:w="1164" w:type="dxa"/>
            <w:vAlign w:val="center"/>
          </w:tcPr>
          <w:p w14:paraId="6E0C53D6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</w:tr>
      <w:tr w14:paraId="1C496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2115F740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6173" w:type="dxa"/>
            <w:vAlign w:val="center"/>
          </w:tcPr>
          <w:p w14:paraId="3F218F20">
            <w:pPr>
              <w:spacing w:after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弱视增视仪（后像灯）</w:t>
            </w:r>
          </w:p>
        </w:tc>
        <w:tc>
          <w:tcPr>
            <w:tcW w:w="1164" w:type="dxa"/>
            <w:vAlign w:val="center"/>
          </w:tcPr>
          <w:p w14:paraId="6D739EBB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</w:tr>
      <w:tr w14:paraId="261E1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1D452194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6173" w:type="dxa"/>
            <w:vAlign w:val="center"/>
          </w:tcPr>
          <w:p w14:paraId="2464197D">
            <w:pPr>
              <w:spacing w:after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海丁格刷</w:t>
            </w:r>
          </w:p>
        </w:tc>
        <w:tc>
          <w:tcPr>
            <w:tcW w:w="1164" w:type="dxa"/>
            <w:vAlign w:val="center"/>
          </w:tcPr>
          <w:p w14:paraId="1CF7F4C8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</w:tr>
      <w:tr w14:paraId="63D4B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62" w:type="dxa"/>
            <w:vAlign w:val="center"/>
          </w:tcPr>
          <w:p w14:paraId="24418DFE">
            <w:pPr>
              <w:spacing w:after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6173" w:type="dxa"/>
            <w:vAlign w:val="center"/>
          </w:tcPr>
          <w:p w14:paraId="72D585C6">
            <w:pPr>
              <w:spacing w:after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红绿阅读单位</w:t>
            </w:r>
          </w:p>
        </w:tc>
        <w:tc>
          <w:tcPr>
            <w:tcW w:w="1164" w:type="dxa"/>
            <w:vAlign w:val="center"/>
          </w:tcPr>
          <w:p w14:paraId="360749E0">
            <w:pPr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</w:tr>
    </w:tbl>
    <w:p w14:paraId="1BF8B638">
      <w:pPr>
        <w:numPr>
          <w:ilvl w:val="0"/>
          <w:numId w:val="0"/>
        </w:numPr>
        <w:rPr>
          <w:rFonts w:hint="eastAsia"/>
          <w:color w:val="FF0000"/>
          <w:lang w:eastAsia="zh-CN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2"/>
  </w:compat>
  <w:rsids>
    <w:rsidRoot w:val="00000000"/>
    <w:rsid w:val="06945619"/>
    <w:rsid w:val="09B6342B"/>
    <w:rsid w:val="0B951FD1"/>
    <w:rsid w:val="0C387C49"/>
    <w:rsid w:val="2B0A6308"/>
    <w:rsid w:val="30E913AF"/>
    <w:rsid w:val="322A723B"/>
    <w:rsid w:val="48D250CA"/>
    <w:rsid w:val="535A4165"/>
    <w:rsid w:val="6F0F6F69"/>
    <w:rsid w:val="723521D4"/>
    <w:rsid w:val="E763BBC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微软雅黑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qFormat="1"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宋体"/>
      <w:sz w:val="22"/>
      <w:szCs w:val="22"/>
      <w:lang w:val="en-US" w:eastAsia="zh-CN" w:bidi="ar-SA"/>
    </w:rPr>
  </w:style>
  <w:style w:type="character" w:default="1" w:styleId="6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widowControl w:val="0"/>
      <w:adjustRightInd/>
      <w:snapToGrid/>
      <w:spacing w:after="0"/>
      <w:ind w:firstLine="420" w:firstLineChars="200"/>
      <w:jc w:val="both"/>
    </w:pPr>
    <w:rPr>
      <w:rFonts w:ascii="Calibri" w:hAnsi="Calibri" w:eastAsia="宋体"/>
      <w:kern w:val="2"/>
      <w:sz w:val="21"/>
    </w:rPr>
  </w:style>
  <w:style w:type="character" w:customStyle="1" w:styleId="8">
    <w:name w:val="页眉 Char"/>
    <w:basedOn w:val="6"/>
    <w:link w:val="3"/>
    <w:qFormat/>
    <w:uiPriority w:val="99"/>
    <w:rPr>
      <w:rFonts w:ascii="Tahoma" w:hAnsi="Tahoma"/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716</Words>
  <Characters>833</Characters>
  <Paragraphs>75</Paragraphs>
  <TotalTime>2</TotalTime>
  <ScaleCrop>false</ScaleCrop>
  <LinksUpToDate>false</LinksUpToDate>
  <CharactersWithSpaces>834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2022-02-23T16:33:00Z</dcterms:created>
  <dc:creator>Administrator</dc:creator>
  <cp:lastModifiedBy>味道</cp:lastModifiedBy>
  <dcterms:modified xsi:type="dcterms:W3CDTF">2026-01-12T02:39:17Z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8c7938788950463f8a432b7ebac09679_23</vt:lpwstr>
  </property>
  <property fmtid="{D5CDD505-2E9C-101B-9397-08002B2CF9AE}" pid="4" name="KSOTemplateDocerSaveRecord">
    <vt:lpwstr>eyJoZGlkIjoiZTc0NDg2YzNlMTQ1NjE4YjA5ZjhjNTc1NmZlOGY1OGUiLCJ1c2VySWQiOiIzNjk3MjE2NDMifQ==</vt:lpwstr>
  </property>
</Properties>
</file>