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DCFD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3" w:firstLineChars="200"/>
        <w:jc w:val="center"/>
        <w:textAlignment w:val="auto"/>
        <w:rPr>
          <w:rFonts w:hint="eastAsia" w:asciiTheme="minorEastAsia" w:hAnsiTheme="minorEastAsia" w:eastAsiaTheme="minorEastAsia" w:cstheme="minorEastAsia"/>
          <w:b/>
          <w:sz w:val="36"/>
          <w:szCs w:val="36"/>
        </w:rPr>
      </w:pPr>
      <w:r>
        <w:rPr>
          <w:rFonts w:hint="eastAsia" w:asciiTheme="minorEastAsia" w:hAnsiTheme="minorEastAsia" w:cstheme="minorEastAsia"/>
          <w:b/>
          <w:sz w:val="32"/>
          <w:szCs w:val="32"/>
          <w:u w:val="none"/>
          <w:lang w:val="en-US" w:eastAsia="zh-CN"/>
        </w:rPr>
        <w:t>一次性被罩</w:t>
      </w:r>
      <w:r>
        <w:rPr>
          <w:rFonts w:hint="eastAsia" w:asciiTheme="minorEastAsia" w:hAnsiTheme="minorEastAsia" w:eastAsiaTheme="minorEastAsia" w:cstheme="minorEastAsia"/>
          <w:b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sz w:val="32"/>
          <w:szCs w:val="32"/>
        </w:rPr>
        <w:t>参数技术要求</w:t>
      </w:r>
    </w:p>
    <w:tbl>
      <w:tblPr>
        <w:tblStyle w:val="4"/>
        <w:tblpPr w:leftFromText="180" w:rightFromText="180" w:vertAnchor="text" w:tblpXSpec="center" w:tblpY="324"/>
        <w:tblOverlap w:val="never"/>
        <w:tblW w:w="101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7593"/>
        <w:gridCol w:w="1135"/>
        <w:gridCol w:w="880"/>
      </w:tblGrid>
      <w:tr w14:paraId="6D0EB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541" w:type="dxa"/>
            <w:noWrap w:val="0"/>
            <w:vAlign w:val="center"/>
          </w:tcPr>
          <w:p w14:paraId="4206EA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7593" w:type="dxa"/>
            <w:noWrap w:val="0"/>
            <w:vAlign w:val="center"/>
          </w:tcPr>
          <w:p w14:paraId="32E3B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1135" w:type="dxa"/>
            <w:noWrap w:val="0"/>
            <w:vAlign w:val="center"/>
          </w:tcPr>
          <w:p w14:paraId="3EAD84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880" w:type="dxa"/>
            <w:noWrap w:val="0"/>
            <w:vAlign w:val="center"/>
          </w:tcPr>
          <w:p w14:paraId="76448C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0A2E7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541" w:type="dxa"/>
            <w:noWrap w:val="0"/>
            <w:vAlign w:val="center"/>
          </w:tcPr>
          <w:p w14:paraId="2B972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1</w:t>
            </w:r>
          </w:p>
        </w:tc>
        <w:tc>
          <w:tcPr>
            <w:tcW w:w="7593" w:type="dxa"/>
            <w:noWrap w:val="0"/>
            <w:vAlign w:val="center"/>
          </w:tcPr>
          <w:p w14:paraId="209B88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一次性使用无菌手术包常规型 被罩210*160</w:t>
            </w:r>
          </w:p>
        </w:tc>
        <w:tc>
          <w:tcPr>
            <w:tcW w:w="1135" w:type="dxa"/>
            <w:noWrap w:val="0"/>
            <w:vAlign w:val="center"/>
          </w:tcPr>
          <w:p w14:paraId="3C173A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544932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7C5E0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541" w:type="dxa"/>
            <w:noWrap w:val="0"/>
            <w:vAlign w:val="center"/>
          </w:tcPr>
          <w:p w14:paraId="331225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2</w:t>
            </w:r>
          </w:p>
        </w:tc>
        <w:tc>
          <w:tcPr>
            <w:tcW w:w="7593" w:type="dxa"/>
            <w:noWrap w:val="0"/>
            <w:vAlign w:val="center"/>
          </w:tcPr>
          <w:p w14:paraId="63BE0B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用于常规外科手术、介入治疗、急诊抢救等无菌环境；</w:t>
            </w:r>
          </w:p>
        </w:tc>
        <w:tc>
          <w:tcPr>
            <w:tcW w:w="1135" w:type="dxa"/>
            <w:noWrap w:val="0"/>
            <w:vAlign w:val="center"/>
          </w:tcPr>
          <w:p w14:paraId="30AC1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2C931C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78D3D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541" w:type="dxa"/>
            <w:noWrap w:val="0"/>
            <w:vAlign w:val="center"/>
          </w:tcPr>
          <w:p w14:paraId="584336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593" w:type="dxa"/>
            <w:noWrap w:val="0"/>
            <w:vAlign w:val="center"/>
          </w:tcPr>
          <w:p w14:paraId="1B26D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Hans" w:bidi="ar-SA"/>
              </w:rPr>
              <w:t>为SMS无纺布（纺粘-熔喷-纺粘复合）或PE覆膜无纺布，具备防水、防渗透、抗静电性能；</w:t>
            </w:r>
          </w:p>
        </w:tc>
        <w:tc>
          <w:tcPr>
            <w:tcW w:w="1135" w:type="dxa"/>
            <w:noWrap w:val="0"/>
            <w:vAlign w:val="center"/>
          </w:tcPr>
          <w:p w14:paraId="4B29CE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7A836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6A062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541" w:type="dxa"/>
            <w:noWrap w:val="0"/>
            <w:vAlign w:val="center"/>
          </w:tcPr>
          <w:p w14:paraId="439E50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4</w:t>
            </w:r>
          </w:p>
          <w:p w14:paraId="1C5A34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593" w:type="dxa"/>
            <w:noWrap w:val="0"/>
            <w:vAlign w:val="center"/>
          </w:tcPr>
          <w:p w14:paraId="3126D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克重：40~60g/m²</w:t>
            </w:r>
          </w:p>
        </w:tc>
        <w:tc>
          <w:tcPr>
            <w:tcW w:w="1135" w:type="dxa"/>
            <w:noWrap w:val="0"/>
            <w:vAlign w:val="center"/>
          </w:tcPr>
          <w:p w14:paraId="67D939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6DF63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55B8F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41" w:type="dxa"/>
            <w:noWrap w:val="0"/>
            <w:vAlign w:val="center"/>
          </w:tcPr>
          <w:p w14:paraId="14576E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593" w:type="dxa"/>
            <w:noWrap w:val="0"/>
            <w:vAlign w:val="center"/>
          </w:tcPr>
          <w:p w14:paraId="4E86F0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环氧乙烷（EO）或辐照灭菌，无菌包装</w:t>
            </w:r>
          </w:p>
        </w:tc>
        <w:tc>
          <w:tcPr>
            <w:tcW w:w="1135" w:type="dxa"/>
            <w:noWrap w:val="0"/>
            <w:vAlign w:val="center"/>
          </w:tcPr>
          <w:p w14:paraId="7B86F4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54D258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49FF0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541" w:type="dxa"/>
            <w:noWrap w:val="0"/>
            <w:vAlign w:val="center"/>
          </w:tcPr>
          <w:p w14:paraId="435968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593" w:type="dxa"/>
            <w:noWrap w:val="0"/>
            <w:vAlign w:val="center"/>
          </w:tcPr>
          <w:p w14:paraId="04F61B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Hans" w:bidi="ar-SA"/>
              </w:rPr>
              <w:t>有效期≥2年</w:t>
            </w:r>
          </w:p>
        </w:tc>
        <w:tc>
          <w:tcPr>
            <w:tcW w:w="1135" w:type="dxa"/>
            <w:noWrap w:val="0"/>
            <w:vAlign w:val="center"/>
          </w:tcPr>
          <w:p w14:paraId="7017D2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7E7E5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</w:tbl>
    <w:p w14:paraId="280172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Theme="minorEastAsia" w:hAnsiTheme="minorEastAsia" w:eastAsiaTheme="minorEastAsia" w:cstheme="minorEastAsia"/>
        </w:rPr>
      </w:pPr>
    </w:p>
    <w:p w14:paraId="603397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Theme="minorEastAsia" w:hAnsiTheme="minorEastAsia" w:eastAsiaTheme="minorEastAsia" w:cstheme="minorEastAsia"/>
        </w:rPr>
      </w:pPr>
    </w:p>
    <w:p w14:paraId="1E8B44EB">
      <w:pPr>
        <w:rPr>
          <w:rFonts w:hint="eastAsia" w:asciiTheme="minorEastAsia" w:hAnsiTheme="minorEastAsia" w:eastAsiaTheme="minorEastAsia" w:cstheme="minorEastAsia"/>
          <w:b/>
          <w:sz w:val="36"/>
          <w:szCs w:val="36"/>
        </w:rPr>
      </w:pPr>
      <w:r>
        <w:rPr>
          <w:rFonts w:hint="eastAsia" w:asciiTheme="minorEastAsia" w:hAnsiTheme="minorEastAsia" w:eastAsiaTheme="minorEastAsia" w:cstheme="minorEastAsia"/>
          <w:color w:val="C00000"/>
          <w:sz w:val="28"/>
          <w:szCs w:val="28"/>
          <w:lang w:val="en-US" w:eastAsia="zh-CN"/>
        </w:rPr>
        <w:t xml:space="preserve">      </w:t>
      </w:r>
      <w:r>
        <w:rPr>
          <w:rFonts w:hint="eastAsia" w:asciiTheme="minorEastAsia" w:hAnsiTheme="minorEastAsia" w:cstheme="minorEastAsia"/>
          <w:color w:val="C00000"/>
          <w:sz w:val="28"/>
          <w:szCs w:val="28"/>
          <w:lang w:val="en-US" w:eastAsia="zh-CN"/>
        </w:rPr>
        <w:t xml:space="preserve">        </w:t>
      </w:r>
      <w:r>
        <w:rPr>
          <w:rFonts w:hint="eastAsia" w:asciiTheme="minorEastAsia" w:hAnsiTheme="minorEastAsia" w:cstheme="minorEastAsia"/>
          <w:b/>
          <w:sz w:val="32"/>
          <w:szCs w:val="32"/>
          <w:u w:val="none"/>
          <w:lang w:val="en-US" w:eastAsia="zh-CN"/>
        </w:rPr>
        <w:t>一次性使用吸引管</w:t>
      </w:r>
      <w:r>
        <w:rPr>
          <w:rFonts w:hint="eastAsia" w:asciiTheme="minorEastAsia" w:hAnsiTheme="minorEastAsia" w:eastAsiaTheme="minorEastAsia" w:cstheme="minorEastAsia"/>
          <w:b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sz w:val="32"/>
          <w:szCs w:val="32"/>
        </w:rPr>
        <w:t>参数技术要求</w:t>
      </w:r>
    </w:p>
    <w:tbl>
      <w:tblPr>
        <w:tblStyle w:val="4"/>
        <w:tblpPr w:leftFromText="180" w:rightFromText="180" w:vertAnchor="text" w:tblpXSpec="center" w:tblpY="324"/>
        <w:tblOverlap w:val="never"/>
        <w:tblW w:w="101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7593"/>
        <w:gridCol w:w="1135"/>
        <w:gridCol w:w="880"/>
      </w:tblGrid>
      <w:tr w14:paraId="7E55A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541" w:type="dxa"/>
            <w:noWrap w:val="0"/>
            <w:vAlign w:val="center"/>
          </w:tcPr>
          <w:p w14:paraId="76ACD0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7593" w:type="dxa"/>
            <w:noWrap w:val="0"/>
            <w:vAlign w:val="center"/>
          </w:tcPr>
          <w:p w14:paraId="3525D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1135" w:type="dxa"/>
            <w:noWrap w:val="0"/>
            <w:vAlign w:val="center"/>
          </w:tcPr>
          <w:p w14:paraId="6FB10F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880" w:type="dxa"/>
            <w:noWrap w:val="0"/>
            <w:vAlign w:val="center"/>
          </w:tcPr>
          <w:p w14:paraId="389C20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0C2CE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541" w:type="dxa"/>
            <w:noWrap w:val="0"/>
            <w:vAlign w:val="center"/>
          </w:tcPr>
          <w:p w14:paraId="25CFB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1</w:t>
            </w:r>
          </w:p>
        </w:tc>
        <w:tc>
          <w:tcPr>
            <w:tcW w:w="7593" w:type="dxa"/>
            <w:noWrap w:val="0"/>
            <w:vAlign w:val="center"/>
          </w:tcPr>
          <w:p w14:paraId="08BDE4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B型 9.0mm*1800mm</w:t>
            </w:r>
          </w:p>
        </w:tc>
        <w:tc>
          <w:tcPr>
            <w:tcW w:w="1135" w:type="dxa"/>
            <w:noWrap w:val="0"/>
            <w:vAlign w:val="center"/>
          </w:tcPr>
          <w:p w14:paraId="7BAFE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2ADD18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21581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541" w:type="dxa"/>
            <w:noWrap w:val="0"/>
            <w:vAlign w:val="center"/>
          </w:tcPr>
          <w:p w14:paraId="0E71F5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2</w:t>
            </w:r>
          </w:p>
        </w:tc>
        <w:tc>
          <w:tcPr>
            <w:tcW w:w="7593" w:type="dxa"/>
            <w:noWrap w:val="0"/>
            <w:vAlign w:val="center"/>
          </w:tcPr>
          <w:p w14:paraId="6556B1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用于全麻手术、气道管理、胸腔引流、术后分泌物清除等</w:t>
            </w:r>
          </w:p>
        </w:tc>
        <w:tc>
          <w:tcPr>
            <w:tcW w:w="1135" w:type="dxa"/>
            <w:noWrap w:val="0"/>
            <w:vAlign w:val="center"/>
          </w:tcPr>
          <w:p w14:paraId="46DA94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256B5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44BB0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541" w:type="dxa"/>
            <w:noWrap w:val="0"/>
            <w:vAlign w:val="center"/>
          </w:tcPr>
          <w:p w14:paraId="61E34C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593" w:type="dxa"/>
            <w:noWrap w:val="0"/>
            <w:vAlign w:val="center"/>
          </w:tcPr>
          <w:p w14:paraId="0C90C0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Hans" w:bidi="ar-SA"/>
              </w:rPr>
              <w:t>材质：医用级PVC或硅胶（透明，便于观察引流物）</w:t>
            </w:r>
          </w:p>
        </w:tc>
        <w:tc>
          <w:tcPr>
            <w:tcW w:w="1135" w:type="dxa"/>
            <w:noWrap w:val="0"/>
            <w:vAlign w:val="center"/>
          </w:tcPr>
          <w:p w14:paraId="32FDC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38A44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71AA1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541" w:type="dxa"/>
            <w:noWrap w:val="0"/>
            <w:vAlign w:val="center"/>
          </w:tcPr>
          <w:p w14:paraId="03DE00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4</w:t>
            </w:r>
          </w:p>
          <w:p w14:paraId="083F87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593" w:type="dxa"/>
            <w:noWrap w:val="0"/>
            <w:vAlign w:val="center"/>
          </w:tcPr>
          <w:p w14:paraId="6D18D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EO环氧乙烷或伽马射线灭菌（单包装无菌）</w:t>
            </w:r>
          </w:p>
        </w:tc>
        <w:tc>
          <w:tcPr>
            <w:tcW w:w="1135" w:type="dxa"/>
            <w:noWrap w:val="0"/>
            <w:vAlign w:val="center"/>
          </w:tcPr>
          <w:p w14:paraId="2C3DF6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5FC65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7F4EA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41" w:type="dxa"/>
            <w:noWrap w:val="0"/>
            <w:vAlign w:val="center"/>
          </w:tcPr>
          <w:p w14:paraId="3ED45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593" w:type="dxa"/>
            <w:noWrap w:val="0"/>
            <w:vAlign w:val="center"/>
          </w:tcPr>
          <w:p w14:paraId="583344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有效期≥2年</w:t>
            </w:r>
          </w:p>
        </w:tc>
        <w:tc>
          <w:tcPr>
            <w:tcW w:w="1135" w:type="dxa"/>
            <w:noWrap w:val="0"/>
            <w:vAlign w:val="center"/>
          </w:tcPr>
          <w:p w14:paraId="1954A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0C9ECA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</w:tbl>
    <w:p w14:paraId="63E068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Theme="minorEastAsia" w:hAnsiTheme="minorEastAsia" w:eastAsiaTheme="minorEastAsia" w:cstheme="minorEastAsia"/>
        </w:rPr>
      </w:pPr>
    </w:p>
    <w:p w14:paraId="23FB84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Theme="minorEastAsia" w:hAnsiTheme="minorEastAsia" w:eastAsiaTheme="minorEastAsia" w:cstheme="minorEastAsia"/>
        </w:rPr>
      </w:pPr>
    </w:p>
    <w:p w14:paraId="119BDE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1606" w:firstLineChars="500"/>
        <w:jc w:val="both"/>
        <w:textAlignment w:val="auto"/>
        <w:rPr>
          <w:rFonts w:hint="eastAsia" w:asciiTheme="minorEastAsia" w:hAnsiTheme="minorEastAsia" w:eastAsiaTheme="minorEastAsia" w:cstheme="minorEastAsia"/>
          <w:b/>
          <w:sz w:val="36"/>
          <w:szCs w:val="36"/>
        </w:rPr>
      </w:pPr>
      <w:r>
        <w:rPr>
          <w:rFonts w:hint="eastAsia" w:asciiTheme="minorEastAsia" w:hAnsiTheme="minorEastAsia" w:cstheme="minorEastAsia"/>
          <w:b/>
          <w:sz w:val="32"/>
          <w:szCs w:val="32"/>
          <w:u w:val="none"/>
          <w:lang w:val="en-US" w:eastAsia="zh-CN"/>
        </w:rPr>
        <w:t>一次性使用冲洗管路</w:t>
      </w:r>
      <w:r>
        <w:rPr>
          <w:rFonts w:hint="eastAsia" w:asciiTheme="minorEastAsia" w:hAnsiTheme="minorEastAsia" w:eastAsiaTheme="minorEastAsia" w:cstheme="minorEastAsia"/>
          <w:b/>
          <w:sz w:val="32"/>
          <w:szCs w:val="32"/>
        </w:rPr>
        <w:t>参数技术要求</w:t>
      </w:r>
    </w:p>
    <w:tbl>
      <w:tblPr>
        <w:tblStyle w:val="4"/>
        <w:tblpPr w:leftFromText="180" w:rightFromText="180" w:vertAnchor="text" w:horzAnchor="page" w:tblpX="997" w:tblpY="65"/>
        <w:tblOverlap w:val="never"/>
        <w:tblW w:w="101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7593"/>
        <w:gridCol w:w="1135"/>
        <w:gridCol w:w="880"/>
      </w:tblGrid>
      <w:tr w14:paraId="265D3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541" w:type="dxa"/>
            <w:noWrap w:val="0"/>
            <w:vAlign w:val="center"/>
          </w:tcPr>
          <w:p w14:paraId="2CFFF6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7593" w:type="dxa"/>
            <w:noWrap w:val="0"/>
            <w:vAlign w:val="center"/>
          </w:tcPr>
          <w:p w14:paraId="6ADCB1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1135" w:type="dxa"/>
            <w:noWrap w:val="0"/>
            <w:vAlign w:val="center"/>
          </w:tcPr>
          <w:p w14:paraId="6D9D2E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880" w:type="dxa"/>
            <w:noWrap w:val="0"/>
            <w:vAlign w:val="center"/>
          </w:tcPr>
          <w:p w14:paraId="25F512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1FE51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541" w:type="dxa"/>
            <w:noWrap w:val="0"/>
            <w:vAlign w:val="center"/>
          </w:tcPr>
          <w:p w14:paraId="142083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1</w:t>
            </w:r>
          </w:p>
        </w:tc>
        <w:tc>
          <w:tcPr>
            <w:tcW w:w="7593" w:type="dxa"/>
            <w:noWrap w:val="0"/>
            <w:vAlign w:val="center"/>
          </w:tcPr>
          <w:p w14:paraId="1C0649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规格A-2</w:t>
            </w:r>
          </w:p>
        </w:tc>
        <w:tc>
          <w:tcPr>
            <w:tcW w:w="1135" w:type="dxa"/>
            <w:noWrap w:val="0"/>
            <w:vAlign w:val="center"/>
          </w:tcPr>
          <w:p w14:paraId="4AC9FD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2A914B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68794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541" w:type="dxa"/>
            <w:noWrap w:val="0"/>
            <w:vAlign w:val="center"/>
          </w:tcPr>
          <w:p w14:paraId="0D9622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2</w:t>
            </w:r>
          </w:p>
        </w:tc>
        <w:tc>
          <w:tcPr>
            <w:tcW w:w="7593" w:type="dxa"/>
            <w:noWrap w:val="0"/>
            <w:vAlign w:val="center"/>
          </w:tcPr>
          <w:p w14:paraId="717D7B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用于伤口冲洗、手术冲洗等；</w:t>
            </w:r>
          </w:p>
        </w:tc>
        <w:tc>
          <w:tcPr>
            <w:tcW w:w="1135" w:type="dxa"/>
            <w:noWrap w:val="0"/>
            <w:vAlign w:val="center"/>
          </w:tcPr>
          <w:p w14:paraId="737691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180F8F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11A17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541" w:type="dxa"/>
            <w:noWrap w:val="0"/>
            <w:vAlign w:val="center"/>
          </w:tcPr>
          <w:p w14:paraId="01241E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593" w:type="dxa"/>
            <w:noWrap w:val="0"/>
            <w:vAlign w:val="center"/>
          </w:tcPr>
          <w:p w14:paraId="7621DC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Hans" w:bidi="ar-SA"/>
              </w:rPr>
              <w:t>材质为医用级PVC、硅胶，需符合生物相容性标准；</w:t>
            </w:r>
          </w:p>
        </w:tc>
        <w:tc>
          <w:tcPr>
            <w:tcW w:w="1135" w:type="dxa"/>
            <w:noWrap w:val="0"/>
            <w:vAlign w:val="center"/>
          </w:tcPr>
          <w:p w14:paraId="1F2B6E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727193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11A32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541" w:type="dxa"/>
            <w:noWrap w:val="0"/>
            <w:vAlign w:val="center"/>
          </w:tcPr>
          <w:p w14:paraId="26ADC0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4</w:t>
            </w:r>
          </w:p>
          <w:p w14:paraId="1AF1F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593" w:type="dxa"/>
            <w:noWrap w:val="0"/>
            <w:vAlign w:val="center"/>
          </w:tcPr>
          <w:p w14:paraId="569408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一次性管路需灭菌（EO或伽马射）</w:t>
            </w:r>
          </w:p>
        </w:tc>
        <w:tc>
          <w:tcPr>
            <w:tcW w:w="1135" w:type="dxa"/>
            <w:noWrap w:val="0"/>
            <w:vAlign w:val="center"/>
          </w:tcPr>
          <w:p w14:paraId="5CA442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409F77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66714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541" w:type="dxa"/>
            <w:noWrap w:val="0"/>
            <w:vAlign w:val="center"/>
          </w:tcPr>
          <w:p w14:paraId="5B344D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7593" w:type="dxa"/>
            <w:noWrap w:val="0"/>
            <w:vAlign w:val="center"/>
          </w:tcPr>
          <w:p w14:paraId="311823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有效期≥2年</w:t>
            </w:r>
          </w:p>
        </w:tc>
        <w:tc>
          <w:tcPr>
            <w:tcW w:w="1135" w:type="dxa"/>
            <w:noWrap w:val="0"/>
            <w:vAlign w:val="center"/>
          </w:tcPr>
          <w:p w14:paraId="229A2F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0B37EB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</w:tbl>
    <w:p w14:paraId="3F7647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Theme="minorEastAsia" w:hAnsiTheme="minorEastAsia" w:eastAsiaTheme="minorEastAsia" w:cstheme="minorEastAsia"/>
        </w:rPr>
      </w:pPr>
    </w:p>
    <w:p w14:paraId="3C854798">
      <w:pPr>
        <w:ind w:firstLine="1928" w:firstLineChars="600"/>
        <w:rPr>
          <w:rFonts w:hint="eastAsia" w:asciiTheme="minorEastAsia" w:hAnsiTheme="minorEastAsia" w:eastAsiaTheme="minorEastAsia" w:cstheme="minorEastAsia"/>
          <w:b/>
          <w:sz w:val="32"/>
          <w:szCs w:val="32"/>
          <w:u w:val="none"/>
          <w:lang w:val="en-US" w:eastAsia="zh-Hans"/>
        </w:rPr>
      </w:pPr>
    </w:p>
    <w:p w14:paraId="31185128">
      <w:pPr>
        <w:ind w:firstLine="1928" w:firstLineChars="600"/>
        <w:rPr>
          <w:rFonts w:hint="eastAsia" w:asciiTheme="minorEastAsia" w:hAnsiTheme="minorEastAsia" w:eastAsiaTheme="minorEastAsia" w:cstheme="minorEastAsia"/>
          <w:b/>
          <w:sz w:val="36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sz w:val="32"/>
          <w:szCs w:val="32"/>
          <w:u w:val="none"/>
          <w:lang w:val="en-US" w:eastAsia="zh-Hans"/>
        </w:rPr>
        <w:t>塑料保护套</w:t>
      </w:r>
      <w:r>
        <w:rPr>
          <w:rFonts w:hint="eastAsia" w:asciiTheme="minorEastAsia" w:hAnsiTheme="minorEastAsia" w:cstheme="minorEastAsia"/>
          <w:b/>
          <w:sz w:val="32"/>
          <w:szCs w:val="32"/>
          <w:u w:val="none"/>
          <w:lang w:val="en-US" w:eastAsia="zh-CN"/>
        </w:rPr>
        <w:t>（镜套）</w:t>
      </w:r>
      <w:r>
        <w:rPr>
          <w:rFonts w:hint="eastAsia" w:asciiTheme="minorEastAsia" w:hAnsiTheme="minorEastAsia" w:eastAsiaTheme="minorEastAsia" w:cstheme="minorEastAsia"/>
          <w:b/>
          <w:sz w:val="32"/>
          <w:szCs w:val="32"/>
        </w:rPr>
        <w:t>参数技术要求</w:t>
      </w:r>
    </w:p>
    <w:tbl>
      <w:tblPr>
        <w:tblStyle w:val="4"/>
        <w:tblpPr w:leftFromText="180" w:rightFromText="180" w:vertAnchor="text" w:tblpXSpec="center" w:tblpY="324"/>
        <w:tblOverlap w:val="never"/>
        <w:tblW w:w="107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8373"/>
        <w:gridCol w:w="911"/>
        <w:gridCol w:w="934"/>
      </w:tblGrid>
      <w:tr w14:paraId="2BD71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541" w:type="dxa"/>
            <w:noWrap w:val="0"/>
            <w:vAlign w:val="center"/>
          </w:tcPr>
          <w:p w14:paraId="6B919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8373" w:type="dxa"/>
            <w:noWrap w:val="0"/>
            <w:vAlign w:val="center"/>
          </w:tcPr>
          <w:p w14:paraId="4B41B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911" w:type="dxa"/>
            <w:noWrap w:val="0"/>
            <w:vAlign w:val="center"/>
          </w:tcPr>
          <w:p w14:paraId="61F952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934" w:type="dxa"/>
            <w:noWrap w:val="0"/>
            <w:vAlign w:val="center"/>
          </w:tcPr>
          <w:p w14:paraId="63EFE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234D4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  <w:jc w:val="center"/>
        </w:trPr>
        <w:tc>
          <w:tcPr>
            <w:tcW w:w="541" w:type="dxa"/>
            <w:noWrap w:val="0"/>
            <w:vAlign w:val="center"/>
          </w:tcPr>
          <w:p w14:paraId="66CF46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1</w:t>
            </w:r>
          </w:p>
        </w:tc>
        <w:tc>
          <w:tcPr>
            <w:tcW w:w="8373" w:type="dxa"/>
            <w:noWrap w:val="0"/>
            <w:vAlign w:val="center"/>
          </w:tcPr>
          <w:p w14:paraId="36EB20F7">
            <w:pPr>
              <w:numPr>
                <w:ilvl w:val="0"/>
                <w:numId w:val="0"/>
              </w:numPr>
              <w:spacing w:line="360" w:lineRule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规格：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200*30cm</w:t>
            </w:r>
          </w:p>
        </w:tc>
        <w:tc>
          <w:tcPr>
            <w:tcW w:w="911" w:type="dxa"/>
            <w:noWrap w:val="0"/>
            <w:vAlign w:val="center"/>
          </w:tcPr>
          <w:p w14:paraId="44A3D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center"/>
          </w:tcPr>
          <w:p w14:paraId="035E76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6F718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541" w:type="dxa"/>
            <w:noWrap w:val="0"/>
            <w:vAlign w:val="center"/>
          </w:tcPr>
          <w:p w14:paraId="1B35FA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2</w:t>
            </w:r>
          </w:p>
        </w:tc>
        <w:tc>
          <w:tcPr>
            <w:tcW w:w="8373" w:type="dxa"/>
            <w:noWrap w:val="0"/>
            <w:vAlign w:val="center"/>
          </w:tcPr>
          <w:p w14:paraId="49FB54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材质为PC、PET等</w:t>
            </w:r>
          </w:p>
        </w:tc>
        <w:tc>
          <w:tcPr>
            <w:tcW w:w="911" w:type="dxa"/>
            <w:noWrap w:val="0"/>
            <w:vAlign w:val="center"/>
          </w:tcPr>
          <w:p w14:paraId="77A87D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center"/>
          </w:tcPr>
          <w:p w14:paraId="54DB0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18AEE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541" w:type="dxa"/>
            <w:noWrap w:val="0"/>
            <w:vAlign w:val="center"/>
          </w:tcPr>
          <w:p w14:paraId="67242D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373" w:type="dxa"/>
            <w:noWrap w:val="0"/>
            <w:vAlign w:val="center"/>
          </w:tcPr>
          <w:p w14:paraId="5E8CEA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Hans" w:bidi="ar-SA"/>
              </w:rPr>
              <w:t>具有高抗冲击性，透明度佳，适合光学防护等</w:t>
            </w:r>
          </w:p>
        </w:tc>
        <w:tc>
          <w:tcPr>
            <w:tcW w:w="911" w:type="dxa"/>
            <w:noWrap w:val="0"/>
            <w:vAlign w:val="center"/>
          </w:tcPr>
          <w:p w14:paraId="70B094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center"/>
          </w:tcPr>
          <w:p w14:paraId="33401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</w:tbl>
    <w:p w14:paraId="478DA1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Theme="minorEastAsia" w:hAnsiTheme="minorEastAsia" w:eastAsiaTheme="minorEastAsia" w:cstheme="minorEastAsia"/>
        </w:rPr>
      </w:pPr>
    </w:p>
    <w:p w14:paraId="642C37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Theme="minorEastAsia" w:hAnsiTheme="minorEastAsia" w:eastAsiaTheme="minorEastAsia" w:cstheme="minorEastAsia"/>
        </w:rPr>
      </w:pPr>
    </w:p>
    <w:p w14:paraId="74950B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3" w:firstLineChars="200"/>
        <w:jc w:val="center"/>
        <w:textAlignment w:val="auto"/>
        <w:rPr>
          <w:rFonts w:hint="eastAsia" w:asciiTheme="minorEastAsia" w:hAnsiTheme="minorEastAsia" w:eastAsiaTheme="minorEastAsia" w:cstheme="minorEastAsia"/>
          <w:b/>
          <w:sz w:val="32"/>
          <w:szCs w:val="32"/>
          <w:lang w:val="en-US" w:eastAsia="zh-Hans"/>
        </w:rPr>
      </w:pPr>
    </w:p>
    <w:p w14:paraId="396EF4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3" w:firstLineChars="200"/>
        <w:jc w:val="center"/>
        <w:textAlignment w:val="auto"/>
        <w:rPr>
          <w:rFonts w:hint="eastAsia" w:asciiTheme="minorEastAsia" w:hAnsiTheme="minorEastAsia" w:eastAsiaTheme="minorEastAsia" w:cstheme="minorEastAsia"/>
          <w:b/>
          <w:sz w:val="36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sz w:val="32"/>
          <w:szCs w:val="32"/>
        </w:rPr>
        <w:t>手术切口无菌保护膜参数技术要求</w:t>
      </w:r>
    </w:p>
    <w:tbl>
      <w:tblPr>
        <w:tblStyle w:val="4"/>
        <w:tblpPr w:leftFromText="180" w:rightFromText="180" w:vertAnchor="text" w:tblpXSpec="center" w:tblpY="324"/>
        <w:tblOverlap w:val="never"/>
        <w:tblW w:w="107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8373"/>
        <w:gridCol w:w="911"/>
        <w:gridCol w:w="934"/>
      </w:tblGrid>
      <w:tr w14:paraId="06EA5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541" w:type="dxa"/>
            <w:noWrap w:val="0"/>
            <w:vAlign w:val="center"/>
          </w:tcPr>
          <w:p w14:paraId="42648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8373" w:type="dxa"/>
            <w:noWrap w:val="0"/>
            <w:vAlign w:val="center"/>
          </w:tcPr>
          <w:p w14:paraId="44408A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911" w:type="dxa"/>
            <w:noWrap w:val="0"/>
            <w:vAlign w:val="center"/>
          </w:tcPr>
          <w:p w14:paraId="44A35A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934" w:type="dxa"/>
            <w:noWrap w:val="0"/>
            <w:vAlign w:val="center"/>
          </w:tcPr>
          <w:p w14:paraId="10172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080B4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541" w:type="dxa"/>
            <w:noWrap w:val="0"/>
            <w:vAlign w:val="center"/>
          </w:tcPr>
          <w:p w14:paraId="061257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1</w:t>
            </w:r>
          </w:p>
        </w:tc>
        <w:tc>
          <w:tcPr>
            <w:tcW w:w="8373" w:type="dxa"/>
            <w:noWrap w:val="0"/>
            <w:vAlign w:val="center"/>
          </w:tcPr>
          <w:p w14:paraId="3BC8ED60">
            <w:pPr>
              <w:numPr>
                <w:ilvl w:val="0"/>
                <w:numId w:val="0"/>
              </w:numPr>
              <w:spacing w:line="360" w:lineRule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规格：30cm*45cm</w:t>
            </w:r>
          </w:p>
        </w:tc>
        <w:tc>
          <w:tcPr>
            <w:tcW w:w="911" w:type="dxa"/>
            <w:noWrap w:val="0"/>
            <w:vAlign w:val="center"/>
          </w:tcPr>
          <w:p w14:paraId="068AEA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center"/>
          </w:tcPr>
          <w:p w14:paraId="11BB01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5E3A2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541" w:type="dxa"/>
            <w:noWrap w:val="0"/>
            <w:vAlign w:val="center"/>
          </w:tcPr>
          <w:p w14:paraId="786CB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2</w:t>
            </w:r>
          </w:p>
        </w:tc>
        <w:tc>
          <w:tcPr>
            <w:tcW w:w="8373" w:type="dxa"/>
            <w:noWrap w:val="0"/>
            <w:vAlign w:val="center"/>
          </w:tcPr>
          <w:p w14:paraId="4EC353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材质为聚氨酯（PU）、聚乙烯（PE）或聚丙烯（PP）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Hans" w:bidi="ar-SA"/>
              </w:rPr>
              <w:t>符合ISO 13485医疗器械标准；</w:t>
            </w:r>
          </w:p>
        </w:tc>
        <w:tc>
          <w:tcPr>
            <w:tcW w:w="911" w:type="dxa"/>
            <w:noWrap w:val="0"/>
            <w:vAlign w:val="center"/>
          </w:tcPr>
          <w:p w14:paraId="4B6999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center"/>
          </w:tcPr>
          <w:p w14:paraId="709B20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10C4C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541" w:type="dxa"/>
            <w:noWrap w:val="0"/>
            <w:vAlign w:val="center"/>
          </w:tcPr>
          <w:p w14:paraId="36659D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373" w:type="dxa"/>
            <w:noWrap w:val="0"/>
            <w:vAlign w:val="center"/>
          </w:tcPr>
          <w:p w14:paraId="392D5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Hans" w:bidi="ar-SA"/>
              </w:rPr>
              <w:t>透湿性：≥500 g/m²/24h</w:t>
            </w:r>
            <w:r>
              <w:rPr>
                <w:rFonts w:hint="eastAsia" w:asciiTheme="minorEastAsia" w:hAnsi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  <w:t>，（避免术野积液）</w:t>
            </w:r>
          </w:p>
        </w:tc>
        <w:tc>
          <w:tcPr>
            <w:tcW w:w="911" w:type="dxa"/>
            <w:noWrap w:val="0"/>
            <w:vAlign w:val="center"/>
          </w:tcPr>
          <w:p w14:paraId="2D508F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center"/>
          </w:tcPr>
          <w:p w14:paraId="7EBF1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18CBD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541" w:type="dxa"/>
            <w:noWrap w:val="0"/>
            <w:vAlign w:val="center"/>
          </w:tcPr>
          <w:p w14:paraId="2F67FA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4</w:t>
            </w:r>
          </w:p>
          <w:p w14:paraId="46521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373" w:type="dxa"/>
            <w:noWrap w:val="0"/>
            <w:vAlign w:val="center"/>
          </w:tcPr>
          <w:p w14:paraId="01A2DA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透气性：氧气透过率＞1000 cm³/m²/24h（维持皮肤代谢）</w:t>
            </w:r>
          </w:p>
        </w:tc>
        <w:tc>
          <w:tcPr>
            <w:tcW w:w="911" w:type="dxa"/>
            <w:noWrap w:val="0"/>
            <w:vAlign w:val="center"/>
          </w:tcPr>
          <w:p w14:paraId="791EA6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center"/>
          </w:tcPr>
          <w:p w14:paraId="38F5DE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664BE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541" w:type="dxa"/>
            <w:noWrap w:val="0"/>
            <w:vAlign w:val="center"/>
          </w:tcPr>
          <w:p w14:paraId="463D92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373" w:type="dxa"/>
            <w:noWrap w:val="0"/>
            <w:vAlign w:val="center"/>
          </w:tcPr>
          <w:p w14:paraId="1912FA8A">
            <w:pPr>
              <w:numPr>
                <w:ilvl w:val="0"/>
                <w:numId w:val="0"/>
              </w:numPr>
              <w:spacing w:line="360" w:lineRule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环氧乙烷（EO）灭菌，残留量＜4 μg/cm²（GB/T 16886.7）</w:t>
            </w:r>
          </w:p>
        </w:tc>
        <w:tc>
          <w:tcPr>
            <w:tcW w:w="911" w:type="dxa"/>
            <w:noWrap w:val="0"/>
            <w:vAlign w:val="center"/>
          </w:tcPr>
          <w:p w14:paraId="2D81E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center"/>
          </w:tcPr>
          <w:p w14:paraId="3611D4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22CCD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541" w:type="dxa"/>
            <w:noWrap w:val="0"/>
            <w:vAlign w:val="center"/>
          </w:tcPr>
          <w:p w14:paraId="41C36C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8373" w:type="dxa"/>
            <w:noWrap w:val="0"/>
            <w:vAlign w:val="center"/>
          </w:tcPr>
          <w:p w14:paraId="3FC1B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Hans" w:bidi="ar-SA"/>
              </w:rPr>
              <w:t>有效期≥2年。</w:t>
            </w:r>
          </w:p>
        </w:tc>
        <w:tc>
          <w:tcPr>
            <w:tcW w:w="911" w:type="dxa"/>
            <w:noWrap w:val="0"/>
            <w:vAlign w:val="center"/>
          </w:tcPr>
          <w:p w14:paraId="10977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center"/>
          </w:tcPr>
          <w:p w14:paraId="15F452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</w:tbl>
    <w:p w14:paraId="1D2DC1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Theme="minorEastAsia" w:hAnsiTheme="minorEastAsia" w:eastAsiaTheme="minorEastAsia" w:cstheme="minorEastAsia"/>
        </w:rPr>
      </w:pPr>
    </w:p>
    <w:p w14:paraId="0E6527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Theme="minorEastAsia" w:hAnsiTheme="minorEastAsia" w:eastAsiaTheme="minorEastAsia" w:cstheme="minorEastAsia"/>
        </w:rPr>
      </w:pPr>
    </w:p>
    <w:p w14:paraId="2F3894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560" w:firstLineChars="200"/>
        <w:jc w:val="center"/>
        <w:textAlignment w:val="auto"/>
        <w:rPr>
          <w:rFonts w:hint="eastAsia" w:asciiTheme="minorEastAsia" w:hAnsiTheme="minorEastAsia" w:eastAsiaTheme="minorEastAsia" w:cstheme="minorEastAsia"/>
          <w:b/>
          <w:sz w:val="36"/>
          <w:szCs w:val="36"/>
        </w:rPr>
      </w:pPr>
      <w:r>
        <w:rPr>
          <w:rFonts w:hint="eastAsia" w:asciiTheme="minorEastAsia" w:hAnsiTheme="minorEastAsia" w:eastAsiaTheme="minorEastAsia" w:cstheme="minorEastAsia"/>
          <w:color w:val="C00000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0"/>
          <w:szCs w:val="30"/>
          <w:lang w:val="en-US" w:eastAsia="zh-CN"/>
        </w:rPr>
        <w:t>颅脑手术薄膜</w:t>
      </w:r>
      <w:r>
        <w:rPr>
          <w:rFonts w:hint="eastAsia" w:asciiTheme="minorEastAsia" w:hAnsiTheme="minorEastAsia" w:eastAsiaTheme="minorEastAsia" w:cstheme="minorEastAsia"/>
          <w:b/>
          <w:sz w:val="32"/>
          <w:szCs w:val="32"/>
        </w:rPr>
        <w:t>参数技术要求</w:t>
      </w:r>
    </w:p>
    <w:tbl>
      <w:tblPr>
        <w:tblStyle w:val="4"/>
        <w:tblpPr w:leftFromText="180" w:rightFromText="180" w:vertAnchor="text" w:tblpXSpec="center" w:tblpY="324"/>
        <w:tblOverlap w:val="never"/>
        <w:tblW w:w="107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8373"/>
        <w:gridCol w:w="911"/>
        <w:gridCol w:w="934"/>
      </w:tblGrid>
      <w:tr w14:paraId="3E8C9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541" w:type="dxa"/>
            <w:noWrap w:val="0"/>
            <w:vAlign w:val="center"/>
          </w:tcPr>
          <w:p w14:paraId="285DE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8373" w:type="dxa"/>
            <w:noWrap w:val="0"/>
            <w:vAlign w:val="center"/>
          </w:tcPr>
          <w:p w14:paraId="2FA70F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911" w:type="dxa"/>
            <w:noWrap w:val="0"/>
            <w:vAlign w:val="center"/>
          </w:tcPr>
          <w:p w14:paraId="502A17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934" w:type="dxa"/>
            <w:noWrap w:val="0"/>
            <w:vAlign w:val="center"/>
          </w:tcPr>
          <w:p w14:paraId="0C9397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56D9A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541" w:type="dxa"/>
            <w:noWrap w:val="0"/>
            <w:vAlign w:val="center"/>
          </w:tcPr>
          <w:p w14:paraId="1B5E98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1</w:t>
            </w:r>
          </w:p>
        </w:tc>
        <w:tc>
          <w:tcPr>
            <w:tcW w:w="8373" w:type="dxa"/>
            <w:noWrap w:val="0"/>
            <w:vAlign w:val="center"/>
          </w:tcPr>
          <w:p w14:paraId="75105C79">
            <w:pPr>
              <w:numPr>
                <w:ilvl w:val="0"/>
                <w:numId w:val="0"/>
              </w:numPr>
              <w:spacing w:line="360" w:lineRule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规格：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P-C型(45cm*45cm)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，尺寸：45cm×45cm，允许偏差±5%</w:t>
            </w:r>
          </w:p>
        </w:tc>
        <w:tc>
          <w:tcPr>
            <w:tcW w:w="911" w:type="dxa"/>
            <w:noWrap w:val="0"/>
            <w:vAlign w:val="center"/>
          </w:tcPr>
          <w:p w14:paraId="484ACA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center"/>
          </w:tcPr>
          <w:p w14:paraId="20657C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62152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541" w:type="dxa"/>
            <w:noWrap w:val="0"/>
            <w:vAlign w:val="center"/>
          </w:tcPr>
          <w:p w14:paraId="6E4548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2</w:t>
            </w:r>
          </w:p>
        </w:tc>
        <w:tc>
          <w:tcPr>
            <w:tcW w:w="8373" w:type="dxa"/>
            <w:noWrap w:val="0"/>
            <w:vAlign w:val="center"/>
          </w:tcPr>
          <w:p w14:paraId="64D811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lang w:val="en-US" w:eastAsia="zh-CN"/>
              </w:rPr>
              <w:t>材质：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医用级高分子材料（如聚氨酯、聚乙烯等），无毒、无致敏性，单面或双面无菌涂层，确保术中无纤维脱落</w:t>
            </w:r>
          </w:p>
        </w:tc>
        <w:tc>
          <w:tcPr>
            <w:tcW w:w="911" w:type="dxa"/>
            <w:noWrap w:val="0"/>
            <w:vAlign w:val="center"/>
          </w:tcPr>
          <w:p w14:paraId="64259F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center"/>
          </w:tcPr>
          <w:p w14:paraId="4885B9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4A30E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541" w:type="dxa"/>
            <w:noWrap w:val="0"/>
            <w:vAlign w:val="center"/>
          </w:tcPr>
          <w:p w14:paraId="5F426E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373" w:type="dxa"/>
            <w:noWrap w:val="0"/>
            <w:vAlign w:val="center"/>
          </w:tcPr>
          <w:p w14:paraId="5228A4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环氧乙烷（EO）或伽马射线灭菌，</w:t>
            </w:r>
            <w:r>
              <w:rPr>
                <w:rFonts w:hint="eastAsia" w:asciiTheme="minorEastAsia" w:hAnsi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灭菌有效期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Hans" w:bidi="ar-SA"/>
              </w:rPr>
              <w:t>≥</w:t>
            </w:r>
            <w:r>
              <w:rPr>
                <w:rFonts w:hint="eastAsia" w:asciiTheme="minorEastAsia" w:hAnsi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  <w:t>2年，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提供灭菌有效期证明</w:t>
            </w:r>
          </w:p>
        </w:tc>
        <w:tc>
          <w:tcPr>
            <w:tcW w:w="911" w:type="dxa"/>
            <w:noWrap w:val="0"/>
            <w:vAlign w:val="center"/>
          </w:tcPr>
          <w:p w14:paraId="4B8A23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center"/>
          </w:tcPr>
          <w:p w14:paraId="6AB507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6C413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541" w:type="dxa"/>
            <w:noWrap w:val="0"/>
            <w:vAlign w:val="center"/>
          </w:tcPr>
          <w:p w14:paraId="1EDF82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4</w:t>
            </w:r>
          </w:p>
          <w:p w14:paraId="44AE58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373" w:type="dxa"/>
            <w:noWrap w:val="0"/>
            <w:vAlign w:val="center"/>
          </w:tcPr>
          <w:p w14:paraId="4F01A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单个独立包装</w:t>
            </w:r>
          </w:p>
        </w:tc>
        <w:tc>
          <w:tcPr>
            <w:tcW w:w="911" w:type="dxa"/>
            <w:noWrap w:val="0"/>
            <w:vAlign w:val="center"/>
          </w:tcPr>
          <w:p w14:paraId="594343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center"/>
          </w:tcPr>
          <w:p w14:paraId="778AEF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</w:tbl>
    <w:p w14:paraId="69091DCB">
      <w:pPr>
        <w:rPr>
          <w:rFonts w:hint="eastAsia" w:asciiTheme="minorEastAsia" w:hAnsiTheme="minorEastAsia" w:eastAsiaTheme="minorEastAsia" w:cstheme="minorEastAsia"/>
          <w:color w:val="C00000"/>
          <w:sz w:val="28"/>
          <w:szCs w:val="28"/>
          <w:lang w:val="en-US" w:eastAsia="zh-CN"/>
        </w:rPr>
      </w:pPr>
    </w:p>
    <w:p w14:paraId="60ED8A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964" w:firstLineChars="300"/>
        <w:jc w:val="both"/>
        <w:textAlignment w:val="auto"/>
        <w:rPr>
          <w:rFonts w:hint="eastAsia" w:asciiTheme="minorEastAsia" w:hAnsiTheme="minorEastAsia" w:eastAsiaTheme="minorEastAsia" w:cstheme="minorEastAsia"/>
          <w:b/>
          <w:sz w:val="36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  <w:lang w:val="en-US" w:eastAsia="zh-CN"/>
        </w:rPr>
        <w:t>过氧化氢低温等离子体灭菌化学指示卡</w:t>
      </w:r>
      <w:r>
        <w:rPr>
          <w:rFonts w:hint="eastAsia" w:asciiTheme="minorEastAsia" w:hAnsiTheme="minorEastAsia" w:eastAsiaTheme="minorEastAsia" w:cstheme="minorEastAsia"/>
          <w:b/>
          <w:sz w:val="32"/>
          <w:szCs w:val="32"/>
        </w:rPr>
        <w:t>参数技术要求</w:t>
      </w:r>
    </w:p>
    <w:tbl>
      <w:tblPr>
        <w:tblStyle w:val="4"/>
        <w:tblpPr w:leftFromText="180" w:rightFromText="180" w:vertAnchor="text" w:tblpXSpec="center" w:tblpY="324"/>
        <w:tblOverlap w:val="never"/>
        <w:tblW w:w="107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8373"/>
        <w:gridCol w:w="911"/>
        <w:gridCol w:w="934"/>
      </w:tblGrid>
      <w:tr w14:paraId="50522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541" w:type="dxa"/>
            <w:noWrap w:val="0"/>
            <w:vAlign w:val="center"/>
          </w:tcPr>
          <w:p w14:paraId="5A2106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8373" w:type="dxa"/>
            <w:noWrap w:val="0"/>
            <w:vAlign w:val="center"/>
          </w:tcPr>
          <w:p w14:paraId="6718B5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911" w:type="dxa"/>
            <w:noWrap w:val="0"/>
            <w:vAlign w:val="center"/>
          </w:tcPr>
          <w:p w14:paraId="7AC031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934" w:type="dxa"/>
            <w:noWrap w:val="0"/>
            <w:vAlign w:val="center"/>
          </w:tcPr>
          <w:p w14:paraId="588B62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0B088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541" w:type="dxa"/>
            <w:noWrap w:val="0"/>
            <w:vAlign w:val="center"/>
          </w:tcPr>
          <w:p w14:paraId="10696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1</w:t>
            </w:r>
          </w:p>
        </w:tc>
        <w:tc>
          <w:tcPr>
            <w:tcW w:w="8373" w:type="dxa"/>
            <w:noWrap w:val="0"/>
            <w:vAlign w:val="center"/>
          </w:tcPr>
          <w:p w14:paraId="6D07B5FA">
            <w:pPr>
              <w:numPr>
                <w:ilvl w:val="0"/>
                <w:numId w:val="0"/>
              </w:numPr>
              <w:spacing w:line="360" w:lineRule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规格：IB0503</w:t>
            </w:r>
          </w:p>
        </w:tc>
        <w:tc>
          <w:tcPr>
            <w:tcW w:w="911" w:type="dxa"/>
            <w:noWrap w:val="0"/>
            <w:vAlign w:val="center"/>
          </w:tcPr>
          <w:p w14:paraId="4FBCE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center"/>
          </w:tcPr>
          <w:p w14:paraId="12FCE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62567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541" w:type="dxa"/>
            <w:noWrap w:val="0"/>
            <w:vAlign w:val="center"/>
          </w:tcPr>
          <w:p w14:paraId="1741C0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2</w:t>
            </w:r>
          </w:p>
        </w:tc>
        <w:tc>
          <w:tcPr>
            <w:tcW w:w="8373" w:type="dxa"/>
            <w:noWrap w:val="0"/>
            <w:vAlign w:val="center"/>
          </w:tcPr>
          <w:p w14:paraId="3086C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指示剂变色范围：明确标注由初始色（如浅黄色）到终末色（如深棕色/绿色）的显色变化</w:t>
            </w:r>
          </w:p>
        </w:tc>
        <w:tc>
          <w:tcPr>
            <w:tcW w:w="911" w:type="dxa"/>
            <w:noWrap w:val="0"/>
            <w:vAlign w:val="center"/>
          </w:tcPr>
          <w:p w14:paraId="4230B8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center"/>
          </w:tcPr>
          <w:p w14:paraId="25E13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6BA39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541" w:type="dxa"/>
            <w:noWrap w:val="0"/>
            <w:vAlign w:val="center"/>
          </w:tcPr>
          <w:p w14:paraId="75A46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373" w:type="dxa"/>
            <w:noWrap w:val="0"/>
            <w:vAlign w:val="center"/>
          </w:tcPr>
          <w:p w14:paraId="6218B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  <w:t>响应浓度：对过氧化氢蒸汽浓度敏感，阈值符合灭菌器厂商要求（如6 mg/L）</w:t>
            </w:r>
          </w:p>
        </w:tc>
        <w:tc>
          <w:tcPr>
            <w:tcW w:w="911" w:type="dxa"/>
            <w:noWrap w:val="0"/>
            <w:vAlign w:val="center"/>
          </w:tcPr>
          <w:p w14:paraId="3F9F50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center"/>
          </w:tcPr>
          <w:p w14:paraId="0C8863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44492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541" w:type="dxa"/>
            <w:noWrap w:val="0"/>
            <w:vAlign w:val="center"/>
          </w:tcPr>
          <w:p w14:paraId="1126CA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4</w:t>
            </w:r>
          </w:p>
          <w:p w14:paraId="65CF60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373" w:type="dxa"/>
            <w:noWrap w:val="0"/>
            <w:vAlign w:val="center"/>
          </w:tcPr>
          <w:p w14:paraId="26E457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响应时间：与灭菌周期匹配（通常3-7分钟，具体根据灭菌程序设定）</w:t>
            </w:r>
          </w:p>
        </w:tc>
        <w:tc>
          <w:tcPr>
            <w:tcW w:w="911" w:type="dxa"/>
            <w:noWrap w:val="0"/>
            <w:vAlign w:val="center"/>
          </w:tcPr>
          <w:p w14:paraId="37135A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center"/>
          </w:tcPr>
          <w:p w14:paraId="659FEA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1D173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541" w:type="dxa"/>
            <w:noWrap w:val="0"/>
            <w:vAlign w:val="center"/>
          </w:tcPr>
          <w:p w14:paraId="45A747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373" w:type="dxa"/>
            <w:noWrap w:val="0"/>
            <w:vAlign w:val="center"/>
          </w:tcPr>
          <w:p w14:paraId="13AC0B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尺寸：常规尺寸（如3×1 cm），需适配灭菌包装袋或器械盒</w:t>
            </w:r>
          </w:p>
        </w:tc>
        <w:tc>
          <w:tcPr>
            <w:tcW w:w="911" w:type="dxa"/>
            <w:noWrap w:val="0"/>
            <w:vAlign w:val="center"/>
          </w:tcPr>
          <w:p w14:paraId="4E283A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center"/>
          </w:tcPr>
          <w:p w14:paraId="7E81E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08293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541" w:type="dxa"/>
            <w:noWrap w:val="0"/>
            <w:vAlign w:val="center"/>
          </w:tcPr>
          <w:p w14:paraId="6FCFE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373" w:type="dxa"/>
            <w:noWrap w:val="0"/>
            <w:vAlign w:val="center"/>
          </w:tcPr>
          <w:p w14:paraId="00BAAA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材质：无毒耐腐蚀材料（如特殊纸基或塑料基）</w:t>
            </w:r>
          </w:p>
        </w:tc>
        <w:tc>
          <w:tcPr>
            <w:tcW w:w="911" w:type="dxa"/>
            <w:noWrap w:val="0"/>
            <w:vAlign w:val="center"/>
          </w:tcPr>
          <w:p w14:paraId="768B05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center"/>
          </w:tcPr>
          <w:p w14:paraId="1B42C5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24167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541" w:type="dxa"/>
            <w:noWrap w:val="0"/>
            <w:vAlign w:val="center"/>
          </w:tcPr>
          <w:p w14:paraId="4CD14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373" w:type="dxa"/>
            <w:noWrap w:val="0"/>
            <w:vAlign w:val="center"/>
          </w:tcPr>
          <w:p w14:paraId="0BFED3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标识：包含批号、有效期、灭菌失败/成功对比色块</w:t>
            </w:r>
          </w:p>
        </w:tc>
        <w:tc>
          <w:tcPr>
            <w:tcW w:w="911" w:type="dxa"/>
            <w:noWrap w:val="0"/>
            <w:vAlign w:val="center"/>
          </w:tcPr>
          <w:p w14:paraId="7EAF5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center"/>
          </w:tcPr>
          <w:p w14:paraId="22DD7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</w:tbl>
    <w:p w14:paraId="6E4A1C3E">
      <w:pPr>
        <w:rPr>
          <w:rFonts w:hint="eastAsia" w:asciiTheme="minorEastAsia" w:hAnsiTheme="minorEastAsia" w:eastAsiaTheme="minorEastAsia" w:cstheme="minorEastAsia"/>
          <w:color w:val="C00000"/>
          <w:sz w:val="28"/>
          <w:szCs w:val="28"/>
          <w:lang w:val="en-US" w:eastAsia="zh-CN"/>
        </w:rPr>
      </w:pPr>
    </w:p>
    <w:p w14:paraId="13CE77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2570" w:firstLineChars="800"/>
        <w:jc w:val="both"/>
        <w:textAlignment w:val="auto"/>
        <w:rPr>
          <w:rFonts w:hint="eastAsia" w:asciiTheme="minorEastAsia" w:hAnsiTheme="minorEastAsia" w:eastAsiaTheme="minorEastAsia" w:cstheme="minorEastAsia"/>
          <w:b/>
          <w:sz w:val="36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sz w:val="32"/>
          <w:szCs w:val="32"/>
        </w:rPr>
        <w:t>医用器械除锈剂参数技术要求</w:t>
      </w:r>
    </w:p>
    <w:tbl>
      <w:tblPr>
        <w:tblStyle w:val="4"/>
        <w:tblpPr w:leftFromText="180" w:rightFromText="180" w:vertAnchor="text" w:tblpXSpec="center" w:tblpY="324"/>
        <w:tblOverlap w:val="never"/>
        <w:tblW w:w="107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8373"/>
        <w:gridCol w:w="911"/>
        <w:gridCol w:w="934"/>
      </w:tblGrid>
      <w:tr w14:paraId="1A720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541" w:type="dxa"/>
            <w:noWrap w:val="0"/>
            <w:vAlign w:val="center"/>
          </w:tcPr>
          <w:p w14:paraId="1C000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8373" w:type="dxa"/>
            <w:noWrap w:val="0"/>
            <w:vAlign w:val="center"/>
          </w:tcPr>
          <w:p w14:paraId="16A0BB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911" w:type="dxa"/>
            <w:noWrap w:val="0"/>
            <w:vAlign w:val="center"/>
          </w:tcPr>
          <w:p w14:paraId="5B56F8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934" w:type="dxa"/>
            <w:noWrap w:val="0"/>
            <w:vAlign w:val="center"/>
          </w:tcPr>
          <w:p w14:paraId="6DC118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5B7B9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541" w:type="dxa"/>
            <w:noWrap w:val="0"/>
            <w:vAlign w:val="center"/>
          </w:tcPr>
          <w:p w14:paraId="560E32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1</w:t>
            </w:r>
          </w:p>
        </w:tc>
        <w:tc>
          <w:tcPr>
            <w:tcW w:w="8373" w:type="dxa"/>
            <w:noWrap w:val="0"/>
            <w:vAlign w:val="center"/>
          </w:tcPr>
          <w:p w14:paraId="4C86F71A">
            <w:pPr>
              <w:numPr>
                <w:ilvl w:val="0"/>
                <w:numId w:val="0"/>
              </w:numPr>
              <w:spacing w:line="360" w:lineRule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提供多种规格（2.5/L/桶 5L/桶），需标注开封后有效期</w:t>
            </w:r>
          </w:p>
        </w:tc>
        <w:tc>
          <w:tcPr>
            <w:tcW w:w="911" w:type="dxa"/>
            <w:noWrap w:val="0"/>
            <w:vAlign w:val="center"/>
          </w:tcPr>
          <w:p w14:paraId="22EC09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center"/>
          </w:tcPr>
          <w:p w14:paraId="6622A3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4CCA4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541" w:type="dxa"/>
            <w:noWrap w:val="0"/>
            <w:vAlign w:val="center"/>
          </w:tcPr>
          <w:p w14:paraId="6B1283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2</w:t>
            </w:r>
          </w:p>
        </w:tc>
        <w:tc>
          <w:tcPr>
            <w:tcW w:w="8373" w:type="dxa"/>
            <w:noWrap w:val="0"/>
            <w:vAlign w:val="center"/>
          </w:tcPr>
          <w:p w14:paraId="45EE0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专用于医疗器械（如手术器械、不锈钢设备等）的锈迹、水垢及无机盐沉积物清除；</w:t>
            </w:r>
          </w:p>
        </w:tc>
        <w:tc>
          <w:tcPr>
            <w:tcW w:w="911" w:type="dxa"/>
            <w:noWrap w:val="0"/>
            <w:vAlign w:val="center"/>
          </w:tcPr>
          <w:p w14:paraId="7B1C1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center"/>
          </w:tcPr>
          <w:p w14:paraId="23923B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235BD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541" w:type="dxa"/>
            <w:noWrap w:val="0"/>
            <w:vAlign w:val="center"/>
          </w:tcPr>
          <w:p w14:paraId="16C248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373" w:type="dxa"/>
            <w:noWrap w:val="0"/>
            <w:vAlign w:val="center"/>
          </w:tcPr>
          <w:p w14:paraId="420A3A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  <w:t>主要成分：明确标注有效成分</w:t>
            </w:r>
          </w:p>
          <w:p w14:paraId="4FAEA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  <w:t>（如弱酸性复合配方），禁用强酸（如盐酸、氢氟酸）</w:t>
            </w:r>
          </w:p>
        </w:tc>
        <w:tc>
          <w:tcPr>
            <w:tcW w:w="911" w:type="dxa"/>
            <w:noWrap w:val="0"/>
            <w:vAlign w:val="center"/>
          </w:tcPr>
          <w:p w14:paraId="5E42E2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center"/>
          </w:tcPr>
          <w:p w14:paraId="5D31C5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48AFC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541" w:type="dxa"/>
            <w:noWrap w:val="0"/>
            <w:vAlign w:val="center"/>
          </w:tcPr>
          <w:p w14:paraId="276837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4</w:t>
            </w:r>
          </w:p>
          <w:p w14:paraId="23908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373" w:type="dxa"/>
            <w:noWrap w:val="0"/>
            <w:vAlign w:val="center"/>
          </w:tcPr>
          <w:p w14:paraId="020F83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pH值范围：中性或弱酸性（pH 4.0-7.0），需提供检测报告；</w:t>
            </w:r>
          </w:p>
        </w:tc>
        <w:tc>
          <w:tcPr>
            <w:tcW w:w="911" w:type="dxa"/>
            <w:noWrap w:val="0"/>
            <w:vAlign w:val="center"/>
          </w:tcPr>
          <w:p w14:paraId="45BBDD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center"/>
          </w:tcPr>
          <w:p w14:paraId="7662A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64DFA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541" w:type="dxa"/>
            <w:noWrap w:val="0"/>
            <w:vAlign w:val="center"/>
          </w:tcPr>
          <w:p w14:paraId="666309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8373" w:type="dxa"/>
            <w:noWrap w:val="0"/>
            <w:vAlign w:val="center"/>
          </w:tcPr>
          <w:p w14:paraId="441BD0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除锈效率：常温下作用5-10分钟可去除中度锈迹，无残留；</w:t>
            </w:r>
          </w:p>
        </w:tc>
        <w:tc>
          <w:tcPr>
            <w:tcW w:w="911" w:type="dxa"/>
            <w:noWrap w:val="0"/>
            <w:vAlign w:val="center"/>
          </w:tcPr>
          <w:p w14:paraId="0BF2E9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center"/>
          </w:tcPr>
          <w:p w14:paraId="43BC1B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30906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541" w:type="dxa"/>
            <w:noWrap w:val="0"/>
            <w:vAlign w:val="center"/>
          </w:tcPr>
          <w:p w14:paraId="6585A5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8373" w:type="dxa"/>
            <w:noWrap w:val="0"/>
            <w:vAlign w:val="center"/>
          </w:tcPr>
          <w:p w14:paraId="718C06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除锈效率：常温下作用5-10分钟可去除中度锈迹，无残留；</w:t>
            </w:r>
          </w:p>
        </w:tc>
        <w:tc>
          <w:tcPr>
            <w:tcW w:w="911" w:type="dxa"/>
            <w:noWrap w:val="0"/>
            <w:vAlign w:val="center"/>
          </w:tcPr>
          <w:p w14:paraId="275830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center"/>
          </w:tcPr>
          <w:p w14:paraId="275809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307DF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541" w:type="dxa"/>
            <w:noWrap w:val="0"/>
            <w:vAlign w:val="center"/>
          </w:tcPr>
          <w:p w14:paraId="07D1D3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8373" w:type="dxa"/>
            <w:noWrap w:val="0"/>
            <w:vAlign w:val="center"/>
          </w:tcPr>
          <w:p w14:paraId="6504CA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生物相容性：通过细胞毒性测试（如ISO 10993-5），残留物符合医院消毒供应中心标准</w:t>
            </w:r>
          </w:p>
        </w:tc>
        <w:tc>
          <w:tcPr>
            <w:tcW w:w="911" w:type="dxa"/>
            <w:noWrap w:val="0"/>
            <w:vAlign w:val="center"/>
          </w:tcPr>
          <w:p w14:paraId="100804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center"/>
          </w:tcPr>
          <w:p w14:paraId="49DB25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30017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541" w:type="dxa"/>
            <w:noWrap w:val="0"/>
            <w:vAlign w:val="center"/>
          </w:tcPr>
          <w:p w14:paraId="714854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8373" w:type="dxa"/>
            <w:noWrap w:val="0"/>
            <w:vAlign w:val="center"/>
          </w:tcPr>
          <w:p w14:paraId="35E8A8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使用方式：支持浸泡、喷涂或超声波清洗，提供具体操作指南</w:t>
            </w:r>
          </w:p>
        </w:tc>
        <w:tc>
          <w:tcPr>
            <w:tcW w:w="911" w:type="dxa"/>
            <w:noWrap w:val="0"/>
            <w:vAlign w:val="center"/>
          </w:tcPr>
          <w:p w14:paraId="7B35D1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center"/>
          </w:tcPr>
          <w:p w14:paraId="461A40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06624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541" w:type="dxa"/>
            <w:noWrap w:val="0"/>
            <w:vAlign w:val="center"/>
          </w:tcPr>
          <w:p w14:paraId="674EE6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8373" w:type="dxa"/>
            <w:noWrap w:val="0"/>
            <w:vAlign w:val="center"/>
          </w:tcPr>
          <w:p w14:paraId="385116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保质期≥24个月</w:t>
            </w:r>
          </w:p>
        </w:tc>
        <w:tc>
          <w:tcPr>
            <w:tcW w:w="911" w:type="dxa"/>
            <w:noWrap w:val="0"/>
            <w:vAlign w:val="center"/>
          </w:tcPr>
          <w:p w14:paraId="7713C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center"/>
          </w:tcPr>
          <w:p w14:paraId="211DDE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</w:tbl>
    <w:p w14:paraId="08F939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color w:val="C00000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color w:val="C00000"/>
          <w:sz w:val="28"/>
          <w:szCs w:val="28"/>
          <w:lang w:val="en-US" w:eastAsia="zh-CN"/>
        </w:rPr>
        <w:t>以上</w:t>
      </w:r>
      <w:r>
        <w:rPr>
          <w:rFonts w:hint="eastAsia" w:asciiTheme="minorEastAsia" w:hAnsiTheme="minorEastAsia" w:eastAsiaTheme="minorEastAsia" w:cstheme="minorEastAsia"/>
          <w:color w:val="C00000"/>
          <w:sz w:val="28"/>
          <w:szCs w:val="28"/>
          <w:lang w:val="en-US" w:eastAsia="zh-CN"/>
        </w:rPr>
        <w:t>所有参数，仅供招标采购技术指导，部分条款不限于此，不具有产品指定性。走第三方集中配送。</w:t>
      </w:r>
      <w:r>
        <w:rPr>
          <w:rFonts w:hint="eastAsia"/>
          <w:color w:val="C00000"/>
          <w:sz w:val="28"/>
          <w:szCs w:val="28"/>
          <w:lang w:val="en-US" w:eastAsia="zh-CN"/>
        </w:rPr>
        <w:t xml:space="preserve">正确填写本表，对应参数响应请在产品说明书中标示或提供证明材料。        </w:t>
      </w:r>
    </w:p>
    <w:p w14:paraId="4B802C47">
      <w:pPr>
        <w:rPr>
          <w:rFonts w:hint="eastAsia" w:asciiTheme="minorEastAsia" w:hAnsiTheme="minorEastAsia" w:eastAsiaTheme="minorEastAsia" w:cstheme="minorEastAsia"/>
          <w:color w:val="C00000"/>
          <w:sz w:val="28"/>
          <w:szCs w:val="28"/>
          <w:lang w:val="en-US" w:eastAsia="zh-CN"/>
        </w:rPr>
      </w:pPr>
    </w:p>
    <w:p w14:paraId="16C06176">
      <w:pPr>
        <w:rPr>
          <w:rFonts w:hint="eastAsia" w:asciiTheme="minorEastAsia" w:hAnsiTheme="minorEastAsia" w:eastAsiaTheme="minorEastAsia" w:cstheme="minorEastAsia"/>
          <w:color w:val="C00000"/>
          <w:sz w:val="28"/>
          <w:szCs w:val="28"/>
          <w:lang w:val="en-US" w:eastAsia="zh-CN"/>
        </w:rPr>
      </w:pPr>
    </w:p>
    <w:p w14:paraId="474620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Theme="minorEastAsia" w:hAnsiTheme="minorEastAsia" w:cstheme="minorEastAsia"/>
          <w:color w:val="C00000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   </w:t>
      </w:r>
      <w:r>
        <w:rPr>
          <w:rFonts w:hint="eastAsia" w:asciiTheme="minorEastAsia" w:hAnsiTheme="minorEastAsia" w:cstheme="minorEastAsia"/>
          <w:color w:val="C00000"/>
          <w:sz w:val="28"/>
          <w:szCs w:val="28"/>
          <w:lang w:val="en-US" w:eastAsia="zh-CN"/>
        </w:rPr>
        <w:t xml:space="preserve">   </w:t>
      </w:r>
    </w:p>
    <w:sectPr>
      <w:pgSz w:w="11906" w:h="16838"/>
      <w:pgMar w:top="1270" w:right="1293" w:bottom="1270" w:left="12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5ZGVmMzhlYjFjZDNmZTE4MWY5MWRmZWVkZWYxMzYifQ=="/>
  </w:docVars>
  <w:rsids>
    <w:rsidRoot w:val="056A3C41"/>
    <w:rsid w:val="00785A16"/>
    <w:rsid w:val="0304067F"/>
    <w:rsid w:val="03D34F6D"/>
    <w:rsid w:val="04F15130"/>
    <w:rsid w:val="05555A51"/>
    <w:rsid w:val="056A3C41"/>
    <w:rsid w:val="0E815D8A"/>
    <w:rsid w:val="14483D96"/>
    <w:rsid w:val="15E6759D"/>
    <w:rsid w:val="180C27CE"/>
    <w:rsid w:val="182431F0"/>
    <w:rsid w:val="19820FF2"/>
    <w:rsid w:val="1D1012D8"/>
    <w:rsid w:val="216B0C7F"/>
    <w:rsid w:val="22A57183"/>
    <w:rsid w:val="247B32EF"/>
    <w:rsid w:val="26D596C8"/>
    <w:rsid w:val="2724059D"/>
    <w:rsid w:val="2C4A3B21"/>
    <w:rsid w:val="2F666452"/>
    <w:rsid w:val="33C31EDC"/>
    <w:rsid w:val="35DC660B"/>
    <w:rsid w:val="360008E9"/>
    <w:rsid w:val="361A4A7B"/>
    <w:rsid w:val="3655E191"/>
    <w:rsid w:val="3692227A"/>
    <w:rsid w:val="37FD7FA9"/>
    <w:rsid w:val="38211B9D"/>
    <w:rsid w:val="39E80A65"/>
    <w:rsid w:val="3A77A9F9"/>
    <w:rsid w:val="3B471779"/>
    <w:rsid w:val="3E77D1A7"/>
    <w:rsid w:val="3ED50CA5"/>
    <w:rsid w:val="3FFD7F43"/>
    <w:rsid w:val="40186E05"/>
    <w:rsid w:val="423B7645"/>
    <w:rsid w:val="42FF4277"/>
    <w:rsid w:val="4BDD3FF6"/>
    <w:rsid w:val="56BFDC07"/>
    <w:rsid w:val="56CD124E"/>
    <w:rsid w:val="5866674F"/>
    <w:rsid w:val="586B51E9"/>
    <w:rsid w:val="5A252C23"/>
    <w:rsid w:val="5F8768C6"/>
    <w:rsid w:val="63230774"/>
    <w:rsid w:val="64CC2446"/>
    <w:rsid w:val="65C53F73"/>
    <w:rsid w:val="65FFEBAF"/>
    <w:rsid w:val="667167B1"/>
    <w:rsid w:val="6DEEEAFC"/>
    <w:rsid w:val="6E223E59"/>
    <w:rsid w:val="70BD2481"/>
    <w:rsid w:val="713B58C8"/>
    <w:rsid w:val="73C73DB1"/>
    <w:rsid w:val="7657E623"/>
    <w:rsid w:val="779B2C34"/>
    <w:rsid w:val="77F536A4"/>
    <w:rsid w:val="77FACF89"/>
    <w:rsid w:val="79D756B5"/>
    <w:rsid w:val="79FFF4CB"/>
    <w:rsid w:val="7CD32BDB"/>
    <w:rsid w:val="7D4143D3"/>
    <w:rsid w:val="7D7F6CFD"/>
    <w:rsid w:val="7DEFB07D"/>
    <w:rsid w:val="7DFA789C"/>
    <w:rsid w:val="7EFF4631"/>
    <w:rsid w:val="7F2CFE83"/>
    <w:rsid w:val="7FAEF83B"/>
    <w:rsid w:val="7FEF3C03"/>
    <w:rsid w:val="7FFFFE38"/>
    <w:rsid w:val="AEBDFD67"/>
    <w:rsid w:val="AFBE0F3A"/>
    <w:rsid w:val="BAFBF985"/>
    <w:rsid w:val="BBBFF03E"/>
    <w:rsid w:val="BCF91372"/>
    <w:rsid w:val="D7D47418"/>
    <w:rsid w:val="DB7F941B"/>
    <w:rsid w:val="DBBAE963"/>
    <w:rsid w:val="DD9540BB"/>
    <w:rsid w:val="DDEED2E9"/>
    <w:rsid w:val="DF7F0BF0"/>
    <w:rsid w:val="DFFFC77C"/>
    <w:rsid w:val="DFFFD76A"/>
    <w:rsid w:val="E5FF6B8C"/>
    <w:rsid w:val="E6CF40B7"/>
    <w:rsid w:val="ED7DC5A8"/>
    <w:rsid w:val="EF7C127C"/>
    <w:rsid w:val="EF7D1065"/>
    <w:rsid w:val="EF7EE8B4"/>
    <w:rsid w:val="F3B7A048"/>
    <w:rsid w:val="F9F70EB2"/>
    <w:rsid w:val="FADF8273"/>
    <w:rsid w:val="FC7F689A"/>
    <w:rsid w:val="FCDF7048"/>
    <w:rsid w:val="FD1F9D4C"/>
    <w:rsid w:val="FF1F7D52"/>
    <w:rsid w:val="FF5E5A36"/>
    <w:rsid w:val="FFCE1833"/>
    <w:rsid w:val="FFF7D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a heading"/>
    <w:basedOn w:val="1"/>
    <w:next w:val="1"/>
    <w:qFormat/>
    <w:uiPriority w:val="0"/>
    <w:rPr>
      <w:rFonts w:ascii="Arial" w:hAnsi="Arial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1306</Words>
  <Characters>1467</Characters>
  <Lines>0</Lines>
  <Paragraphs>0</Paragraphs>
  <TotalTime>9</TotalTime>
  <ScaleCrop>false</ScaleCrop>
  <LinksUpToDate>false</LinksUpToDate>
  <CharactersWithSpaces>1602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2023-03-26T10:02:00Z</dcterms:created>
  <dc:creator>Administrator</dc:creator>
  <cp:lastModifiedBy>WPS_1687134908</cp:lastModifiedBy>
  <dcterms:modified xsi:type="dcterms:W3CDTF">2026-01-19T03:19:18Z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91510BADA7004713A567F96A85FD596B_13</vt:lpwstr>
  </property>
  <property fmtid="{D5CDD505-2E9C-101B-9397-08002B2CF9AE}" pid="4" name="KSOTemplateDocerSaveRecord">
    <vt:lpwstr>eyJoZGlkIjoiYjc1MWM4MWUwM2RlZjk3MTNiY2VlNzM1MDRhZjU0MGUiLCJ1c2VySWQiOiIxNTA4NzU0MjE5In0=</vt:lpwstr>
  </property>
</Properties>
</file>