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CFD5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891" w:firstLineChars="900"/>
        <w:jc w:val="both"/>
        <w:textAlignment w:val="auto"/>
        <w:rPr>
          <w:rFonts w:hint="eastAsia" w:asciiTheme="minorEastAsia" w:hAnsiTheme="minorEastAsia" w:eastAsiaTheme="minorEastAsia" w:cstheme="minorEastAsia"/>
          <w:b/>
          <w:sz w:val="36"/>
          <w:szCs w:val="36"/>
        </w:rPr>
      </w:pPr>
      <w:r>
        <w:rPr>
          <w:rFonts w:hint="eastAsia" w:asciiTheme="minorEastAsia" w:hAnsiTheme="minorEastAsia" w:cstheme="minorEastAsia"/>
          <w:b/>
          <w:sz w:val="32"/>
          <w:szCs w:val="32"/>
          <w:lang w:eastAsia="zh-CN"/>
        </w:rPr>
        <w:t>无菌锯片</w:t>
      </w:r>
      <w:r>
        <w:rPr>
          <w:rFonts w:hint="eastAsia" w:asciiTheme="minorEastAsia" w:hAnsiTheme="minorEastAsia" w:eastAsiaTheme="minorEastAsia" w:cstheme="minorEastAsia"/>
          <w:b/>
          <w:sz w:val="32"/>
          <w:szCs w:val="32"/>
        </w:rPr>
        <w:t>参数要求</w:t>
      </w:r>
    </w:p>
    <w:tbl>
      <w:tblPr>
        <w:tblStyle w:val="4"/>
        <w:tblpPr w:leftFromText="180" w:rightFromText="180" w:vertAnchor="text" w:tblpXSpec="center" w:tblpY="324"/>
        <w:tblOverlap w:val="never"/>
        <w:tblW w:w="10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7593"/>
        <w:gridCol w:w="1135"/>
        <w:gridCol w:w="880"/>
      </w:tblGrid>
      <w:tr w14:paraId="6D0E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206EAEC">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7593" w:type="dxa"/>
            <w:noWrap w:val="0"/>
            <w:vAlign w:val="center"/>
          </w:tcPr>
          <w:p w14:paraId="32E3BBFD">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1135" w:type="dxa"/>
            <w:noWrap w:val="0"/>
            <w:vAlign w:val="center"/>
          </w:tcPr>
          <w:p w14:paraId="3EAD844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880" w:type="dxa"/>
            <w:noWrap w:val="0"/>
            <w:vAlign w:val="center"/>
          </w:tcPr>
          <w:p w14:paraId="76448C1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0A2E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41" w:type="dxa"/>
            <w:noWrap w:val="0"/>
            <w:vAlign w:val="center"/>
          </w:tcPr>
          <w:p w14:paraId="2B972230">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593" w:type="dxa"/>
            <w:noWrap w:val="0"/>
            <w:vAlign w:val="center"/>
          </w:tcPr>
          <w:p w14:paraId="209B8869">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用于骨科手术截锯骨骼。</w:t>
            </w:r>
          </w:p>
        </w:tc>
        <w:tc>
          <w:tcPr>
            <w:tcW w:w="1135" w:type="dxa"/>
            <w:noWrap w:val="0"/>
            <w:vAlign w:val="center"/>
          </w:tcPr>
          <w:p w14:paraId="3C173A4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544932F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7C5E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exact"/>
          <w:jc w:val="center"/>
        </w:trPr>
        <w:tc>
          <w:tcPr>
            <w:tcW w:w="541" w:type="dxa"/>
            <w:noWrap w:val="0"/>
            <w:vAlign w:val="center"/>
          </w:tcPr>
          <w:p w14:paraId="3312258B">
            <w:pPr>
              <w:keepNext w:val="0"/>
              <w:keepLines w:val="0"/>
              <w:pageBreakBefore w:val="0"/>
              <w:widowControl w:val="0"/>
              <w:kinsoku/>
              <w:wordWrap/>
              <w:overflowPunct/>
              <w:topLinePunct w:val="0"/>
              <w:autoSpaceDE/>
              <w:autoSpaceDN/>
              <w:bidi w:val="0"/>
              <w:adjustRightInd/>
              <w:snapToGrid w:val="0"/>
              <w:spacing w:beforeAutospacing="0" w:afterAutospacing="0" w:line="36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7593" w:type="dxa"/>
            <w:noWrap w:val="0"/>
            <w:vAlign w:val="center"/>
          </w:tcPr>
          <w:p w14:paraId="63BE0BB5">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长/宽/厚要求，宽锯片长：≥70-110mm±1mm,宽：≥13-22mm±1mm</w:t>
            </w:r>
          </w:p>
          <w:p w14:paraId="077FD97E">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厚：≥1.0-1.2mm±1mm</w:t>
            </w:r>
          </w:p>
          <w:p w14:paraId="33631CDB">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窄锯片长：≥25-41mm±1mm，宽：≥7.5-14mm±1mm,厚：≥0.5mm±1mm</w:t>
            </w:r>
          </w:p>
          <w:p w14:paraId="354DCF86">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heme="minorEastAsia" w:hAnsiTheme="minorEastAsia" w:cstheme="minorEastAsia"/>
                <w:color w:val="auto"/>
                <w:sz w:val="24"/>
                <w:szCs w:val="24"/>
                <w:lang w:val="en-US" w:eastAsia="zh-CN"/>
              </w:rPr>
            </w:pPr>
          </w:p>
        </w:tc>
        <w:tc>
          <w:tcPr>
            <w:tcW w:w="1135" w:type="dxa"/>
            <w:noWrap w:val="0"/>
            <w:vAlign w:val="center"/>
          </w:tcPr>
          <w:p w14:paraId="30AC1B5A">
            <w:pPr>
              <w:keepNext w:val="0"/>
              <w:keepLines w:val="0"/>
              <w:pageBreakBefore w:val="0"/>
              <w:widowControl w:val="0"/>
              <w:kinsoku/>
              <w:wordWrap/>
              <w:overflowPunct/>
              <w:topLinePunct w:val="0"/>
              <w:autoSpaceDE/>
              <w:autoSpaceDN/>
              <w:bidi w:val="0"/>
              <w:adjustRightInd/>
              <w:snapToGrid w:val="0"/>
              <w:spacing w:beforeAutospacing="0" w:afterAutospacing="0" w:line="36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2C931C6A">
            <w:pPr>
              <w:keepNext w:val="0"/>
              <w:keepLines w:val="0"/>
              <w:pageBreakBefore w:val="0"/>
              <w:widowControl w:val="0"/>
              <w:kinsoku/>
              <w:wordWrap/>
              <w:overflowPunct/>
              <w:topLinePunct w:val="0"/>
              <w:autoSpaceDE/>
              <w:autoSpaceDN/>
              <w:bidi w:val="0"/>
              <w:adjustRightInd/>
              <w:snapToGrid w:val="0"/>
              <w:spacing w:beforeAutospacing="0" w:afterAutospacing="0" w:line="360" w:lineRule="exact"/>
              <w:jc w:val="both"/>
              <w:textAlignment w:val="auto"/>
              <w:rPr>
                <w:rFonts w:hint="eastAsia" w:asciiTheme="minorEastAsia" w:hAnsiTheme="minorEastAsia" w:eastAsiaTheme="minorEastAsia" w:cstheme="minorEastAsia"/>
                <w:color w:val="auto"/>
                <w:sz w:val="24"/>
                <w:szCs w:val="24"/>
              </w:rPr>
            </w:pPr>
          </w:p>
        </w:tc>
      </w:tr>
      <w:tr w14:paraId="78D3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41" w:type="dxa"/>
            <w:noWrap w:val="0"/>
            <w:vAlign w:val="center"/>
          </w:tcPr>
          <w:p w14:paraId="584336AB">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7593" w:type="dxa"/>
            <w:noWrap w:val="0"/>
            <w:vAlign w:val="center"/>
          </w:tcPr>
          <w:p w14:paraId="1B26D76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产品由不锈钢12Cr17Ni7材料制成或优于该材质。</w:t>
            </w:r>
          </w:p>
        </w:tc>
        <w:tc>
          <w:tcPr>
            <w:tcW w:w="1135" w:type="dxa"/>
            <w:noWrap w:val="0"/>
            <w:vAlign w:val="center"/>
          </w:tcPr>
          <w:p w14:paraId="4B29CE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7A8367F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A06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41" w:type="dxa"/>
            <w:noWrap w:val="0"/>
            <w:vAlign w:val="center"/>
          </w:tcPr>
          <w:p w14:paraId="439E50E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w:t>
            </w:r>
          </w:p>
          <w:p w14:paraId="1C5A34FD">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p>
        </w:tc>
        <w:tc>
          <w:tcPr>
            <w:tcW w:w="7593" w:type="dxa"/>
            <w:noWrap w:val="0"/>
            <w:vAlign w:val="center"/>
          </w:tcPr>
          <w:p w14:paraId="3126D5C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锯片表面无缺陷、平面平直，锯齿锋利、清晰、完整，无缺齿现象；具有良好的耐腐蚀性能，锯片厚度</w:t>
            </w:r>
            <w:r>
              <w:rPr>
                <w:rFonts w:hint="eastAsia" w:asciiTheme="minorEastAsia" w:hAnsiTheme="minorEastAsia" w:cstheme="minorEastAsia"/>
                <w:color w:val="auto"/>
                <w:sz w:val="24"/>
                <w:szCs w:val="24"/>
                <w:lang w:val="en-US" w:eastAsia="zh-CN"/>
              </w:rPr>
              <w:t>≥1.0mm，硬度≥50HRC；锯片厚度＜1.0mm,硬度≥514HV0.2</w:t>
            </w:r>
            <w:bookmarkStart w:id="0" w:name="_GoBack"/>
            <w:bookmarkEnd w:id="0"/>
            <w:r>
              <w:rPr>
                <w:rFonts w:hint="eastAsia" w:asciiTheme="minorEastAsia" w:hAnsiTheme="minorEastAsia" w:cstheme="minorEastAsia"/>
                <w:color w:val="auto"/>
                <w:sz w:val="24"/>
                <w:szCs w:val="24"/>
                <w:lang w:val="en-US" w:eastAsia="zh-CN"/>
              </w:rPr>
              <w:t>。</w:t>
            </w:r>
          </w:p>
        </w:tc>
        <w:tc>
          <w:tcPr>
            <w:tcW w:w="1135" w:type="dxa"/>
            <w:noWrap w:val="0"/>
            <w:vAlign w:val="center"/>
          </w:tcPr>
          <w:p w14:paraId="67D9399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6DF63F0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55B8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1" w:type="dxa"/>
            <w:noWrap w:val="0"/>
            <w:vAlign w:val="center"/>
          </w:tcPr>
          <w:p w14:paraId="14576E50">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5</w:t>
            </w:r>
          </w:p>
        </w:tc>
        <w:tc>
          <w:tcPr>
            <w:tcW w:w="7593" w:type="dxa"/>
            <w:noWrap w:val="0"/>
            <w:vAlign w:val="center"/>
          </w:tcPr>
          <w:p w14:paraId="4E86F05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一次性使用，经环氧乙烷灭菌，灭菌有效期</w:t>
            </w:r>
            <w:r>
              <w:rPr>
                <w:rFonts w:hint="eastAsia" w:asciiTheme="minorEastAsia" w:hAnsiTheme="minorEastAsia" w:cstheme="minorEastAsia"/>
                <w:color w:val="auto"/>
                <w:sz w:val="24"/>
                <w:szCs w:val="24"/>
                <w:lang w:val="en-US" w:eastAsia="zh-CN"/>
              </w:rPr>
              <w:t>≥2年。</w:t>
            </w:r>
          </w:p>
        </w:tc>
        <w:tc>
          <w:tcPr>
            <w:tcW w:w="1135" w:type="dxa"/>
            <w:noWrap w:val="0"/>
            <w:vAlign w:val="center"/>
          </w:tcPr>
          <w:p w14:paraId="7B86F41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54D258F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9FF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41" w:type="dxa"/>
            <w:noWrap w:val="0"/>
            <w:vAlign w:val="center"/>
          </w:tcPr>
          <w:p w14:paraId="43596838">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lang w:eastAsia="zh-CN"/>
              </w:rPr>
              <w:t>6</w:t>
            </w:r>
          </w:p>
        </w:tc>
        <w:tc>
          <w:tcPr>
            <w:tcW w:w="7593" w:type="dxa"/>
            <w:noWrap w:val="0"/>
            <w:vAlign w:val="center"/>
          </w:tcPr>
          <w:p w14:paraId="04F61BD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产品为山东招采平台挂网产品，提供27位医保编码。</w:t>
            </w:r>
          </w:p>
        </w:tc>
        <w:tc>
          <w:tcPr>
            <w:tcW w:w="1135" w:type="dxa"/>
            <w:noWrap w:val="0"/>
            <w:vAlign w:val="center"/>
          </w:tcPr>
          <w:p w14:paraId="7017D2A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7E7E513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03CE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41" w:type="dxa"/>
            <w:noWrap w:val="0"/>
            <w:vAlign w:val="center"/>
          </w:tcPr>
          <w:p w14:paraId="590D159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p>
        </w:tc>
        <w:tc>
          <w:tcPr>
            <w:tcW w:w="7593" w:type="dxa"/>
            <w:noWrap w:val="0"/>
            <w:vAlign w:val="center"/>
          </w:tcPr>
          <w:p w14:paraId="1DA891B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产品需匹配医院现有博进摆锯动力接口。</w:t>
            </w:r>
          </w:p>
        </w:tc>
        <w:tc>
          <w:tcPr>
            <w:tcW w:w="1135" w:type="dxa"/>
            <w:noWrap w:val="0"/>
            <w:vAlign w:val="center"/>
          </w:tcPr>
          <w:p w14:paraId="63005D7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760AF45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2587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41" w:type="dxa"/>
            <w:noWrap w:val="0"/>
            <w:vAlign w:val="center"/>
          </w:tcPr>
          <w:p w14:paraId="2674ED3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default"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w:t>
            </w:r>
          </w:p>
        </w:tc>
        <w:tc>
          <w:tcPr>
            <w:tcW w:w="7593" w:type="dxa"/>
            <w:noWrap w:val="0"/>
            <w:vAlign w:val="center"/>
          </w:tcPr>
          <w:p w14:paraId="65B0E26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带样品</w:t>
            </w:r>
          </w:p>
        </w:tc>
        <w:tc>
          <w:tcPr>
            <w:tcW w:w="1135" w:type="dxa"/>
            <w:noWrap w:val="0"/>
            <w:vAlign w:val="center"/>
          </w:tcPr>
          <w:p w14:paraId="0D0AF9F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0CEDC26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715DD01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6033975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1E8B44EB">
      <w:pP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color w:val="C00000"/>
          <w:sz w:val="28"/>
          <w:szCs w:val="28"/>
          <w:lang w:val="en-US" w:eastAsia="zh-CN"/>
        </w:rPr>
        <w:t xml:space="preserve">      </w:t>
      </w:r>
      <w:r>
        <w:rPr>
          <w:rFonts w:hint="eastAsia" w:asciiTheme="minorEastAsia" w:hAnsiTheme="minorEastAsia" w:cstheme="minorEastAsia"/>
          <w:color w:val="C00000"/>
          <w:sz w:val="28"/>
          <w:szCs w:val="28"/>
          <w:lang w:val="en-US" w:eastAsia="zh-CN"/>
        </w:rPr>
        <w:t xml:space="preserve">        </w:t>
      </w:r>
      <w:r>
        <w:rPr>
          <w:rFonts w:hint="eastAsia" w:asciiTheme="minorEastAsia" w:hAnsiTheme="minorEastAsia" w:cstheme="minorEastAsia"/>
          <w:b/>
          <w:bCs/>
          <w:color w:val="auto"/>
          <w:sz w:val="32"/>
          <w:szCs w:val="32"/>
          <w:lang w:val="en-US" w:eastAsia="zh-CN"/>
        </w:rPr>
        <w:t>单臂一体式外固定支架</w:t>
      </w:r>
      <w:r>
        <w:rPr>
          <w:rFonts w:hint="eastAsia" w:asciiTheme="minorEastAsia" w:hAnsiTheme="minorEastAsia" w:eastAsiaTheme="minorEastAsia" w:cstheme="minorEastAsia"/>
          <w:b/>
          <w:bCs/>
          <w:color w:val="auto"/>
          <w:sz w:val="32"/>
          <w:szCs w:val="32"/>
        </w:rPr>
        <w:t>参数要求</w:t>
      </w:r>
    </w:p>
    <w:tbl>
      <w:tblPr>
        <w:tblStyle w:val="4"/>
        <w:tblpPr w:leftFromText="180" w:rightFromText="180" w:vertAnchor="text" w:tblpXSpec="center" w:tblpY="324"/>
        <w:tblOverlap w:val="never"/>
        <w:tblW w:w="10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7593"/>
        <w:gridCol w:w="1135"/>
        <w:gridCol w:w="880"/>
      </w:tblGrid>
      <w:tr w14:paraId="7E55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76ACD069">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7593" w:type="dxa"/>
            <w:noWrap w:val="0"/>
            <w:vAlign w:val="center"/>
          </w:tcPr>
          <w:p w14:paraId="3525DCFC">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1135" w:type="dxa"/>
            <w:noWrap w:val="0"/>
            <w:vAlign w:val="center"/>
          </w:tcPr>
          <w:p w14:paraId="6FB10FC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880" w:type="dxa"/>
            <w:noWrap w:val="0"/>
            <w:vAlign w:val="center"/>
          </w:tcPr>
          <w:p w14:paraId="389C208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0C2C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41" w:type="dxa"/>
            <w:noWrap w:val="0"/>
            <w:vAlign w:val="center"/>
          </w:tcPr>
          <w:p w14:paraId="25CFB1B5">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593" w:type="dxa"/>
            <w:noWrap w:val="0"/>
            <w:vAlign w:val="center"/>
          </w:tcPr>
          <w:p w14:paraId="08BDE453">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适用于骨科上肢、下肢创伤外固定手术。</w:t>
            </w:r>
          </w:p>
        </w:tc>
        <w:tc>
          <w:tcPr>
            <w:tcW w:w="1135" w:type="dxa"/>
            <w:noWrap w:val="0"/>
            <w:vAlign w:val="center"/>
          </w:tcPr>
          <w:p w14:paraId="7BAFE3F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2ADD189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2158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41" w:type="dxa"/>
            <w:noWrap w:val="0"/>
            <w:vAlign w:val="center"/>
          </w:tcPr>
          <w:p w14:paraId="0E71F5A0">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7593" w:type="dxa"/>
            <w:noWrap w:val="0"/>
            <w:vAlign w:val="center"/>
          </w:tcPr>
          <w:p w14:paraId="6556B1A1">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主要由夹针块、万向球、伸缩体、主体、压缩调节体、偏心棍组件组成。</w:t>
            </w:r>
          </w:p>
        </w:tc>
        <w:tc>
          <w:tcPr>
            <w:tcW w:w="1135" w:type="dxa"/>
            <w:noWrap w:val="0"/>
            <w:vAlign w:val="center"/>
          </w:tcPr>
          <w:p w14:paraId="46DA94F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256B54C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4BB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41" w:type="dxa"/>
            <w:noWrap w:val="0"/>
            <w:vAlign w:val="center"/>
          </w:tcPr>
          <w:p w14:paraId="61E34CF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7593" w:type="dxa"/>
            <w:noWrap w:val="0"/>
            <w:vAlign w:val="center"/>
          </w:tcPr>
          <w:p w14:paraId="0C90C00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符合生物力学具有多功能承载，稳定性好。</w:t>
            </w:r>
          </w:p>
        </w:tc>
        <w:tc>
          <w:tcPr>
            <w:tcW w:w="1135" w:type="dxa"/>
            <w:noWrap w:val="0"/>
            <w:vAlign w:val="center"/>
          </w:tcPr>
          <w:p w14:paraId="32FDC69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38A44DC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71AA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541" w:type="dxa"/>
            <w:noWrap w:val="0"/>
            <w:vAlign w:val="center"/>
          </w:tcPr>
          <w:p w14:paraId="03DE007A">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w:t>
            </w:r>
          </w:p>
          <w:p w14:paraId="083F87F6">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p>
        </w:tc>
        <w:tc>
          <w:tcPr>
            <w:tcW w:w="7593" w:type="dxa"/>
            <w:noWrap w:val="0"/>
            <w:vAlign w:val="center"/>
          </w:tcPr>
          <w:p w14:paraId="6D18D7A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具备多功能既能牵伸延长肢体，又能伸缩对骨端加压。</w:t>
            </w:r>
          </w:p>
        </w:tc>
        <w:tc>
          <w:tcPr>
            <w:tcW w:w="1135" w:type="dxa"/>
            <w:noWrap w:val="0"/>
            <w:vAlign w:val="center"/>
          </w:tcPr>
          <w:p w14:paraId="2C3DF60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5FC659D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7F4E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541" w:type="dxa"/>
            <w:noWrap w:val="0"/>
            <w:vAlign w:val="center"/>
          </w:tcPr>
          <w:p w14:paraId="3ED455E9">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5</w:t>
            </w:r>
          </w:p>
        </w:tc>
        <w:tc>
          <w:tcPr>
            <w:tcW w:w="7593" w:type="dxa"/>
            <w:noWrap w:val="0"/>
            <w:vAlign w:val="center"/>
          </w:tcPr>
          <w:p w14:paraId="5833444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cstheme="minorEastAsia"/>
                <w:b w:val="0"/>
                <w:bCs w:val="0"/>
                <w:color w:val="auto"/>
                <w:sz w:val="24"/>
                <w:szCs w:val="24"/>
                <w:lang w:val="en-US" w:eastAsia="zh-CN"/>
              </w:rPr>
              <w:t>指掌骨、尺桡骨、肘关节、骨盆、胫骨、踝关节单臂一体式外固定架，需单独报价，由独立的27位医保编码。</w:t>
            </w:r>
          </w:p>
        </w:tc>
        <w:tc>
          <w:tcPr>
            <w:tcW w:w="1135" w:type="dxa"/>
            <w:noWrap w:val="0"/>
            <w:vAlign w:val="center"/>
          </w:tcPr>
          <w:p w14:paraId="1954A9C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0C9ECAD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1781091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23FB843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44B7A28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1606" w:firstLineChars="500"/>
        <w:jc w:val="both"/>
        <w:textAlignment w:val="auto"/>
        <w:rPr>
          <w:rFonts w:hint="eastAsia" w:asciiTheme="minorEastAsia" w:hAnsiTheme="minorEastAsia" w:cstheme="minorEastAsia"/>
          <w:b/>
          <w:sz w:val="32"/>
          <w:szCs w:val="32"/>
          <w:u w:val="none"/>
          <w:lang w:val="en-US" w:eastAsia="zh-CN"/>
        </w:rPr>
      </w:pPr>
    </w:p>
    <w:p w14:paraId="583A25D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1606" w:firstLineChars="500"/>
        <w:jc w:val="both"/>
        <w:textAlignment w:val="auto"/>
        <w:rPr>
          <w:rFonts w:hint="eastAsia" w:asciiTheme="minorEastAsia" w:hAnsiTheme="minorEastAsia" w:cstheme="minorEastAsia"/>
          <w:b/>
          <w:sz w:val="32"/>
          <w:szCs w:val="32"/>
          <w:u w:val="none"/>
          <w:lang w:val="en-US" w:eastAsia="zh-CN"/>
        </w:rPr>
      </w:pPr>
    </w:p>
    <w:p w14:paraId="375CEA5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1606" w:firstLineChars="500"/>
        <w:jc w:val="both"/>
        <w:textAlignment w:val="auto"/>
        <w:rPr>
          <w:rFonts w:hint="eastAsia" w:asciiTheme="minorEastAsia" w:hAnsiTheme="minorEastAsia" w:cstheme="minorEastAsia"/>
          <w:b/>
          <w:sz w:val="32"/>
          <w:szCs w:val="32"/>
          <w:u w:val="none"/>
          <w:lang w:val="en-US" w:eastAsia="zh-CN"/>
        </w:rPr>
      </w:pPr>
    </w:p>
    <w:p w14:paraId="6F6481B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1606" w:firstLineChars="500"/>
        <w:jc w:val="both"/>
        <w:textAlignment w:val="auto"/>
        <w:rPr>
          <w:rFonts w:hint="eastAsia" w:asciiTheme="minorEastAsia" w:hAnsiTheme="minorEastAsia" w:cstheme="minorEastAsia"/>
          <w:b/>
          <w:sz w:val="32"/>
          <w:szCs w:val="32"/>
          <w:u w:val="none"/>
          <w:lang w:val="en-US" w:eastAsia="zh-CN"/>
        </w:rPr>
      </w:pPr>
    </w:p>
    <w:p w14:paraId="119BDE2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249" w:firstLineChars="700"/>
        <w:jc w:val="both"/>
        <w:textAlignment w:val="auto"/>
        <w:rPr>
          <w:rFonts w:hint="eastAsia" w:asciiTheme="minorEastAsia" w:hAnsiTheme="minorEastAsia" w:eastAsiaTheme="minorEastAsia" w:cstheme="minorEastAsia"/>
          <w:b/>
          <w:sz w:val="36"/>
          <w:szCs w:val="36"/>
        </w:rPr>
      </w:pPr>
      <w:r>
        <w:rPr>
          <w:rFonts w:hint="eastAsia" w:asciiTheme="minorEastAsia" w:hAnsiTheme="minorEastAsia" w:cstheme="minorEastAsia"/>
          <w:b/>
          <w:sz w:val="32"/>
          <w:szCs w:val="32"/>
          <w:lang w:eastAsia="zh-CN"/>
        </w:rPr>
        <w:t>碳棒组合式外固定架</w:t>
      </w:r>
      <w:r>
        <w:rPr>
          <w:rFonts w:hint="eastAsia" w:asciiTheme="minorEastAsia" w:hAnsiTheme="minorEastAsia" w:eastAsiaTheme="minorEastAsia" w:cstheme="minorEastAsia"/>
          <w:b/>
          <w:sz w:val="32"/>
          <w:szCs w:val="32"/>
        </w:rPr>
        <w:t>参数要求</w:t>
      </w:r>
    </w:p>
    <w:tbl>
      <w:tblPr>
        <w:tblStyle w:val="4"/>
        <w:tblpPr w:leftFromText="180" w:rightFromText="180" w:vertAnchor="text" w:horzAnchor="page" w:tblpX="997" w:tblpY="65"/>
        <w:tblOverlap w:val="never"/>
        <w:tblW w:w="10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7593"/>
        <w:gridCol w:w="1135"/>
        <w:gridCol w:w="880"/>
      </w:tblGrid>
      <w:tr w14:paraId="265D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2CFFF62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7593" w:type="dxa"/>
            <w:noWrap w:val="0"/>
            <w:vAlign w:val="center"/>
          </w:tcPr>
          <w:p w14:paraId="6ADCB16D">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1135" w:type="dxa"/>
            <w:noWrap w:val="0"/>
            <w:vAlign w:val="center"/>
          </w:tcPr>
          <w:p w14:paraId="6D9D2E3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880" w:type="dxa"/>
            <w:noWrap w:val="0"/>
            <w:vAlign w:val="center"/>
          </w:tcPr>
          <w:p w14:paraId="25F5120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1FE5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541" w:type="dxa"/>
            <w:noWrap w:val="0"/>
            <w:vAlign w:val="center"/>
          </w:tcPr>
          <w:p w14:paraId="1420830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593" w:type="dxa"/>
            <w:noWrap w:val="0"/>
            <w:vAlign w:val="center"/>
          </w:tcPr>
          <w:p w14:paraId="1C0649F7">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b w:val="0"/>
                <w:bCs w:val="0"/>
                <w:i w:val="0"/>
                <w:iCs w:val="0"/>
                <w:color w:val="auto"/>
                <w:sz w:val="24"/>
                <w:szCs w:val="24"/>
                <w:vertAlign w:val="baseline"/>
                <w:lang w:val="en-US" w:eastAsia="zh-CN"/>
              </w:rPr>
            </w:pPr>
            <w:r>
              <w:rPr>
                <w:rFonts w:hint="eastAsia" w:asciiTheme="minorEastAsia" w:hAnsiTheme="minorEastAsia" w:cstheme="minorEastAsia"/>
                <w:color w:val="auto"/>
                <w:sz w:val="24"/>
                <w:szCs w:val="24"/>
                <w:lang w:val="en-US" w:eastAsia="zh-CN"/>
              </w:rPr>
              <w:t>由钉杆夹、杆杆夹、直柱、30</w:t>
            </w:r>
            <w:r>
              <w:rPr>
                <w:rFonts w:hint="eastAsia" w:asciiTheme="minorEastAsia" w:hAnsiTheme="minorEastAsia" w:cstheme="minorEastAsia"/>
                <w:color w:val="auto"/>
                <w:sz w:val="24"/>
                <w:szCs w:val="24"/>
                <w:vertAlign w:val="superscript"/>
                <w:lang w:val="en-US" w:eastAsia="zh-CN"/>
              </w:rPr>
              <w:t>0</w:t>
            </w:r>
            <w:r>
              <w:rPr>
                <w:rFonts w:hint="eastAsia" w:asciiTheme="minorEastAsia" w:hAnsiTheme="minorEastAsia" w:cstheme="minorEastAsia"/>
                <w:color w:val="auto"/>
                <w:sz w:val="24"/>
                <w:szCs w:val="24"/>
                <w:vertAlign w:val="baseline"/>
                <w:lang w:val="en-US" w:eastAsia="zh-CN"/>
              </w:rPr>
              <w:t>支柱、夹钉块、碳纤维杆、关节连接器、连接杆、外固定架配合用金属螺纹针组成。</w:t>
            </w:r>
          </w:p>
        </w:tc>
        <w:tc>
          <w:tcPr>
            <w:tcW w:w="1135" w:type="dxa"/>
            <w:noWrap w:val="0"/>
            <w:vAlign w:val="center"/>
          </w:tcPr>
          <w:p w14:paraId="4AC9FD8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2A914B8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879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41" w:type="dxa"/>
            <w:noWrap w:val="0"/>
            <w:vAlign w:val="center"/>
          </w:tcPr>
          <w:p w14:paraId="0D96226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7593" w:type="dxa"/>
            <w:noWrap w:val="0"/>
            <w:vAlign w:val="center"/>
          </w:tcPr>
          <w:p w14:paraId="717D7B87">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用于骨科创伤外固定手术。</w:t>
            </w:r>
          </w:p>
        </w:tc>
        <w:tc>
          <w:tcPr>
            <w:tcW w:w="1135" w:type="dxa"/>
            <w:noWrap w:val="0"/>
            <w:vAlign w:val="center"/>
          </w:tcPr>
          <w:p w14:paraId="7376918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180F8FB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11A1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41" w:type="dxa"/>
            <w:noWrap w:val="0"/>
            <w:vAlign w:val="center"/>
          </w:tcPr>
          <w:p w14:paraId="01241ED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7593" w:type="dxa"/>
            <w:noWrap w:val="0"/>
            <w:vAlign w:val="center"/>
          </w:tcPr>
          <w:p w14:paraId="7621DCE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所有组件单独进行报价，由独立的27位医保编码。</w:t>
            </w:r>
          </w:p>
        </w:tc>
        <w:tc>
          <w:tcPr>
            <w:tcW w:w="1135" w:type="dxa"/>
            <w:noWrap w:val="0"/>
            <w:vAlign w:val="center"/>
          </w:tcPr>
          <w:p w14:paraId="1F2B6E3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880" w:type="dxa"/>
            <w:noWrap w:val="0"/>
            <w:vAlign w:val="center"/>
          </w:tcPr>
          <w:p w14:paraId="7271938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3F76476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3C854798">
      <w:pPr>
        <w:ind w:firstLine="1928" w:firstLineChars="600"/>
        <w:rPr>
          <w:rFonts w:hint="eastAsia" w:asciiTheme="minorEastAsia" w:hAnsiTheme="minorEastAsia" w:eastAsiaTheme="minorEastAsia" w:cstheme="minorEastAsia"/>
          <w:b/>
          <w:sz w:val="32"/>
          <w:szCs w:val="32"/>
          <w:u w:val="none"/>
          <w:lang w:val="en-US" w:eastAsia="zh-Hans"/>
        </w:rPr>
      </w:pPr>
    </w:p>
    <w:p w14:paraId="31185128">
      <w:pPr>
        <w:ind w:firstLine="1928" w:firstLineChars="600"/>
        <w:rPr>
          <w:rFonts w:hint="eastAsia" w:asciiTheme="minorEastAsia" w:hAnsiTheme="minorEastAsia" w:eastAsiaTheme="minorEastAsia" w:cstheme="minorEastAsia"/>
          <w:b/>
          <w:sz w:val="36"/>
          <w:szCs w:val="36"/>
        </w:rPr>
      </w:pPr>
      <w:r>
        <w:rPr>
          <w:rFonts w:hint="eastAsia" w:asciiTheme="minorEastAsia" w:hAnsiTheme="minorEastAsia" w:cstheme="minorEastAsia"/>
          <w:b/>
          <w:sz w:val="32"/>
          <w:szCs w:val="32"/>
          <w:lang w:eastAsia="zh-CN"/>
        </w:rPr>
        <w:t>可吸收螺钉（空心钉）</w:t>
      </w:r>
      <w:r>
        <w:rPr>
          <w:rFonts w:hint="eastAsia" w:asciiTheme="minorEastAsia" w:hAnsiTheme="minorEastAsia" w:eastAsiaTheme="minorEastAsia" w:cstheme="minorEastAsia"/>
          <w:b/>
          <w:sz w:val="32"/>
          <w:szCs w:val="32"/>
        </w:rPr>
        <w:t>参数要求</w:t>
      </w:r>
    </w:p>
    <w:tbl>
      <w:tblPr>
        <w:tblStyle w:val="4"/>
        <w:tblpPr w:leftFromText="180" w:rightFromText="180" w:vertAnchor="text" w:tblpXSpec="center" w:tblpY="324"/>
        <w:tblOverlap w:val="never"/>
        <w:tblW w:w="10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8373"/>
        <w:gridCol w:w="911"/>
        <w:gridCol w:w="934"/>
      </w:tblGrid>
      <w:tr w14:paraId="2BD7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6B91977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8373" w:type="dxa"/>
            <w:noWrap w:val="0"/>
            <w:vAlign w:val="center"/>
          </w:tcPr>
          <w:p w14:paraId="4B41BFB9">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911" w:type="dxa"/>
            <w:noWrap w:val="0"/>
            <w:vAlign w:val="center"/>
          </w:tcPr>
          <w:p w14:paraId="61F952B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934" w:type="dxa"/>
            <w:noWrap w:val="0"/>
            <w:vAlign w:val="center"/>
          </w:tcPr>
          <w:p w14:paraId="63EFE92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234D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41" w:type="dxa"/>
            <w:noWrap w:val="0"/>
            <w:vAlign w:val="center"/>
          </w:tcPr>
          <w:p w14:paraId="66CF469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8373" w:type="dxa"/>
            <w:noWrap w:val="0"/>
            <w:vAlign w:val="center"/>
          </w:tcPr>
          <w:p w14:paraId="36EB20F7">
            <w:pPr>
              <w:numPr>
                <w:ilvl w:val="0"/>
                <w:numId w:val="0"/>
              </w:num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产品材质：聚乳酸+羟基磷石灰；</w:t>
            </w:r>
          </w:p>
        </w:tc>
        <w:tc>
          <w:tcPr>
            <w:tcW w:w="911" w:type="dxa"/>
            <w:noWrap w:val="0"/>
            <w:vAlign w:val="center"/>
          </w:tcPr>
          <w:p w14:paraId="44A3D71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035E765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F71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541" w:type="dxa"/>
            <w:noWrap w:val="0"/>
            <w:vAlign w:val="center"/>
          </w:tcPr>
          <w:p w14:paraId="1B35FA1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8373" w:type="dxa"/>
            <w:noWrap w:val="0"/>
            <w:vAlign w:val="center"/>
          </w:tcPr>
          <w:p w14:paraId="49FB54AB">
            <w:pPr>
              <w:keepNext w:val="0"/>
              <w:keepLines w:val="0"/>
              <w:pageBreakBefore w:val="0"/>
              <w:widowControl w:val="0"/>
              <w:kinsoku/>
              <w:wordWrap/>
              <w:overflowPunct/>
              <w:topLinePunct w:val="0"/>
              <w:autoSpaceDE/>
              <w:bidi w:val="0"/>
              <w:adjustRightInd/>
              <w:snapToGrid/>
              <w:spacing w:line="240" w:lineRule="exact"/>
              <w:jc w:val="both"/>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力学强度≥200兆帕，满足非承重类骨折内固定需求；</w:t>
            </w:r>
          </w:p>
        </w:tc>
        <w:tc>
          <w:tcPr>
            <w:tcW w:w="911" w:type="dxa"/>
            <w:noWrap w:val="0"/>
            <w:vAlign w:val="center"/>
          </w:tcPr>
          <w:p w14:paraId="77A87D9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54DB0E4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18AE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41" w:type="dxa"/>
            <w:noWrap w:val="0"/>
            <w:vAlign w:val="center"/>
          </w:tcPr>
          <w:p w14:paraId="67242DC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8373" w:type="dxa"/>
            <w:noWrap w:val="0"/>
            <w:vAlign w:val="center"/>
          </w:tcPr>
          <w:p w14:paraId="5E8CEA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降解速度：前6个月可维持初始强度的80%，3-5年完全吸收；</w:t>
            </w:r>
          </w:p>
        </w:tc>
        <w:tc>
          <w:tcPr>
            <w:tcW w:w="911" w:type="dxa"/>
            <w:noWrap w:val="0"/>
            <w:vAlign w:val="center"/>
          </w:tcPr>
          <w:p w14:paraId="70B0943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33401D2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74E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41" w:type="dxa"/>
            <w:noWrap w:val="0"/>
            <w:vAlign w:val="center"/>
          </w:tcPr>
          <w:p w14:paraId="6B1A6D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4</w:t>
            </w:r>
          </w:p>
        </w:tc>
        <w:tc>
          <w:tcPr>
            <w:tcW w:w="8373" w:type="dxa"/>
            <w:noWrap w:val="0"/>
            <w:vAlign w:val="center"/>
          </w:tcPr>
          <w:p w14:paraId="5E9BE1F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外径需包括1.5mm-4.5mm,长度覆盖10mm-70mm；</w:t>
            </w:r>
          </w:p>
        </w:tc>
        <w:tc>
          <w:tcPr>
            <w:tcW w:w="911" w:type="dxa"/>
            <w:noWrap w:val="0"/>
            <w:vAlign w:val="center"/>
          </w:tcPr>
          <w:p w14:paraId="6AA6BAD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57C791F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0BCB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41" w:type="dxa"/>
            <w:noWrap w:val="0"/>
            <w:vAlign w:val="center"/>
          </w:tcPr>
          <w:p w14:paraId="005972A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p>
        </w:tc>
        <w:tc>
          <w:tcPr>
            <w:tcW w:w="8373" w:type="dxa"/>
            <w:noWrap w:val="0"/>
            <w:vAlign w:val="center"/>
          </w:tcPr>
          <w:p w14:paraId="6B7A45D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需分为实心可吸收螺钉和空心可吸收螺钉，分别进行报价。</w:t>
            </w:r>
          </w:p>
        </w:tc>
        <w:tc>
          <w:tcPr>
            <w:tcW w:w="911" w:type="dxa"/>
            <w:noWrap w:val="0"/>
            <w:vAlign w:val="center"/>
          </w:tcPr>
          <w:p w14:paraId="0A71016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6AB7E85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264C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541" w:type="dxa"/>
            <w:noWrap w:val="0"/>
            <w:vAlign w:val="center"/>
          </w:tcPr>
          <w:p w14:paraId="406469F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p>
        </w:tc>
        <w:tc>
          <w:tcPr>
            <w:tcW w:w="8373" w:type="dxa"/>
            <w:noWrap w:val="0"/>
            <w:vAlign w:val="center"/>
          </w:tcPr>
          <w:p w14:paraId="6A383B4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产品为一次性使用，经环氧乙烷灭菌，灭菌有效期</w:t>
            </w:r>
            <w:r>
              <w:rPr>
                <w:rFonts w:hint="eastAsia" w:asciiTheme="minorEastAsia" w:hAnsiTheme="minorEastAsia" w:cstheme="minorEastAsia"/>
                <w:color w:val="auto"/>
                <w:sz w:val="24"/>
                <w:szCs w:val="24"/>
                <w:lang w:val="en-US" w:eastAsia="zh-CN"/>
              </w:rPr>
              <w:t>≥2年。</w:t>
            </w:r>
          </w:p>
        </w:tc>
        <w:tc>
          <w:tcPr>
            <w:tcW w:w="911" w:type="dxa"/>
            <w:noWrap w:val="0"/>
            <w:vAlign w:val="center"/>
          </w:tcPr>
          <w:p w14:paraId="46ED46B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42C62AE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6C8B9EB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642C370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74950B8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asciiTheme="minorEastAsia" w:hAnsiTheme="minorEastAsia" w:eastAsiaTheme="minorEastAsia" w:cstheme="minorEastAsia"/>
          <w:b/>
          <w:sz w:val="32"/>
          <w:szCs w:val="32"/>
          <w:lang w:val="en-US" w:eastAsia="zh-Hans"/>
        </w:rPr>
      </w:pPr>
    </w:p>
    <w:p w14:paraId="396EF44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1928" w:firstLineChars="600"/>
        <w:jc w:val="both"/>
        <w:textAlignment w:val="auto"/>
        <w:rPr>
          <w:rFonts w:hint="eastAsia" w:asciiTheme="minorEastAsia" w:hAnsiTheme="minorEastAsia" w:eastAsiaTheme="minorEastAsia" w:cstheme="minorEastAsia"/>
          <w:b/>
          <w:sz w:val="36"/>
          <w:szCs w:val="36"/>
        </w:rPr>
      </w:pPr>
      <w:r>
        <w:rPr>
          <w:rFonts w:hint="eastAsia" w:asciiTheme="minorEastAsia" w:hAnsiTheme="minorEastAsia" w:cstheme="minorEastAsia"/>
          <w:b/>
          <w:sz w:val="32"/>
          <w:szCs w:val="32"/>
          <w:lang w:eastAsia="zh-CN"/>
        </w:rPr>
        <w:t>一次性使用内窥镜套管</w:t>
      </w:r>
      <w:r>
        <w:rPr>
          <w:rFonts w:hint="eastAsia" w:asciiTheme="minorEastAsia" w:hAnsiTheme="minorEastAsia" w:eastAsiaTheme="minorEastAsia" w:cstheme="minorEastAsia"/>
          <w:b/>
          <w:sz w:val="32"/>
          <w:szCs w:val="32"/>
        </w:rPr>
        <w:t>参数要求</w:t>
      </w:r>
    </w:p>
    <w:tbl>
      <w:tblPr>
        <w:tblStyle w:val="4"/>
        <w:tblpPr w:leftFromText="180" w:rightFromText="180" w:vertAnchor="text" w:tblpXSpec="center" w:tblpY="324"/>
        <w:tblOverlap w:val="never"/>
        <w:tblW w:w="10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8373"/>
        <w:gridCol w:w="911"/>
        <w:gridCol w:w="934"/>
      </w:tblGrid>
      <w:tr w14:paraId="06EA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264822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8373" w:type="dxa"/>
            <w:noWrap w:val="0"/>
            <w:vAlign w:val="center"/>
          </w:tcPr>
          <w:p w14:paraId="44408A33">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911" w:type="dxa"/>
            <w:noWrap w:val="0"/>
            <w:vAlign w:val="center"/>
          </w:tcPr>
          <w:p w14:paraId="44A35A7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934" w:type="dxa"/>
            <w:noWrap w:val="0"/>
            <w:vAlign w:val="center"/>
          </w:tcPr>
          <w:p w14:paraId="1017296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080B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541" w:type="dxa"/>
            <w:noWrap w:val="0"/>
            <w:vAlign w:val="center"/>
          </w:tcPr>
          <w:p w14:paraId="0612575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8373" w:type="dxa"/>
            <w:noWrap w:val="0"/>
            <w:vAlign w:val="center"/>
          </w:tcPr>
          <w:p w14:paraId="3BC8ED60">
            <w:pPr>
              <w:numPr>
                <w:ilvl w:val="0"/>
                <w:numId w:val="0"/>
              </w:num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由硅胶套管、硅胶螺母组成。</w:t>
            </w:r>
          </w:p>
        </w:tc>
        <w:tc>
          <w:tcPr>
            <w:tcW w:w="911" w:type="dxa"/>
            <w:noWrap w:val="0"/>
            <w:vAlign w:val="center"/>
          </w:tcPr>
          <w:p w14:paraId="068AEA0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11BB015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5E3A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1" w:type="dxa"/>
            <w:noWrap w:val="0"/>
            <w:vAlign w:val="center"/>
          </w:tcPr>
          <w:p w14:paraId="786CB32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8373" w:type="dxa"/>
            <w:noWrap w:val="0"/>
            <w:vAlign w:val="center"/>
          </w:tcPr>
          <w:p w14:paraId="4EC35342">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适用于关节镜手术，用于插入、拔出器械时支持入路。</w:t>
            </w:r>
          </w:p>
        </w:tc>
        <w:tc>
          <w:tcPr>
            <w:tcW w:w="911" w:type="dxa"/>
            <w:noWrap w:val="0"/>
            <w:vAlign w:val="center"/>
          </w:tcPr>
          <w:p w14:paraId="4B69998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709B201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10C4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541" w:type="dxa"/>
            <w:noWrap w:val="0"/>
            <w:vAlign w:val="center"/>
          </w:tcPr>
          <w:p w14:paraId="36659D6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8373" w:type="dxa"/>
            <w:noWrap w:val="0"/>
            <w:vAlign w:val="center"/>
          </w:tcPr>
          <w:p w14:paraId="392D5C6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半透明设计，便于医生操作观察。</w:t>
            </w:r>
          </w:p>
        </w:tc>
        <w:tc>
          <w:tcPr>
            <w:tcW w:w="911" w:type="dxa"/>
            <w:noWrap w:val="0"/>
            <w:vAlign w:val="center"/>
          </w:tcPr>
          <w:p w14:paraId="2D508FE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7EBF143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18CB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541" w:type="dxa"/>
            <w:noWrap w:val="0"/>
            <w:vAlign w:val="center"/>
          </w:tcPr>
          <w:p w14:paraId="2F67FAC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w:t>
            </w:r>
          </w:p>
          <w:p w14:paraId="465214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p>
        </w:tc>
        <w:tc>
          <w:tcPr>
            <w:tcW w:w="8373" w:type="dxa"/>
            <w:noWrap w:val="0"/>
            <w:vAlign w:val="center"/>
          </w:tcPr>
          <w:p w14:paraId="01A2DA0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套管表面应平整光滑、无毛刺和锋棱，无肉眼可识别空隙，裂缝，沟槽和烧结物，拉伸撕裂、扯断伸长率应符合指标。螺母与套管应配合良好，螺母应上下转动且锁止，有效固定放置位置。</w:t>
            </w:r>
          </w:p>
        </w:tc>
        <w:tc>
          <w:tcPr>
            <w:tcW w:w="911" w:type="dxa"/>
            <w:noWrap w:val="0"/>
            <w:vAlign w:val="center"/>
          </w:tcPr>
          <w:p w14:paraId="791EA65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38F5DEF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64B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541" w:type="dxa"/>
            <w:noWrap w:val="0"/>
            <w:vAlign w:val="center"/>
          </w:tcPr>
          <w:p w14:paraId="463D92D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5</w:t>
            </w:r>
          </w:p>
        </w:tc>
        <w:tc>
          <w:tcPr>
            <w:tcW w:w="8373" w:type="dxa"/>
            <w:noWrap w:val="0"/>
            <w:vAlign w:val="center"/>
          </w:tcPr>
          <w:p w14:paraId="1912FA8A">
            <w:pPr>
              <w:numPr>
                <w:ilvl w:val="0"/>
                <w:numId w:val="0"/>
              </w:numPr>
              <w:spacing w:line="360" w:lineRule="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cstheme="minorEastAsia"/>
                <w:b w:val="0"/>
                <w:bCs w:val="0"/>
                <w:color w:val="auto"/>
                <w:sz w:val="24"/>
                <w:szCs w:val="24"/>
                <w:lang w:val="en-US" w:eastAsia="zh-CN"/>
              </w:rPr>
              <w:t>产品为一次性使用，经环氧乙烷灭菌，灭菌有效期</w:t>
            </w:r>
            <w:r>
              <w:rPr>
                <w:rFonts w:hint="eastAsia" w:asciiTheme="minorEastAsia" w:hAnsiTheme="minorEastAsia" w:cstheme="minorEastAsia"/>
                <w:color w:val="auto"/>
                <w:sz w:val="24"/>
                <w:szCs w:val="24"/>
                <w:lang w:val="en-US" w:eastAsia="zh-CN"/>
              </w:rPr>
              <w:t>≥2年。</w:t>
            </w:r>
          </w:p>
        </w:tc>
        <w:tc>
          <w:tcPr>
            <w:tcW w:w="911" w:type="dxa"/>
            <w:noWrap w:val="0"/>
            <w:vAlign w:val="center"/>
          </w:tcPr>
          <w:p w14:paraId="2D81E83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3611D4B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1D2DC1B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0E65278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rPr>
      </w:pPr>
    </w:p>
    <w:p w14:paraId="2F3894A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560" w:firstLineChars="200"/>
        <w:jc w:val="center"/>
        <w:textAlignment w:val="auto"/>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color w:val="C00000"/>
          <w:sz w:val="28"/>
          <w:szCs w:val="28"/>
          <w:lang w:val="en-US" w:eastAsia="zh-CN"/>
        </w:rPr>
        <w:t xml:space="preserve"> </w:t>
      </w:r>
      <w:r>
        <w:rPr>
          <w:rFonts w:hint="eastAsia" w:asciiTheme="minorEastAsia" w:hAnsiTheme="minorEastAsia" w:eastAsiaTheme="minorEastAsia" w:cstheme="minorEastAsia"/>
          <w:b/>
          <w:bCs/>
          <w:color w:val="auto"/>
          <w:sz w:val="32"/>
          <w:szCs w:val="32"/>
          <w:lang w:val="en-US" w:eastAsia="zh-CN"/>
        </w:rPr>
        <w:t xml:space="preserve"> </w:t>
      </w:r>
      <w:r>
        <w:rPr>
          <w:rFonts w:hint="eastAsia" w:asciiTheme="minorEastAsia" w:hAnsiTheme="minorEastAsia" w:cstheme="minorEastAsia"/>
          <w:b/>
          <w:bCs/>
          <w:color w:val="auto"/>
          <w:sz w:val="32"/>
          <w:szCs w:val="32"/>
          <w:lang w:val="en-US" w:eastAsia="zh-CN"/>
        </w:rPr>
        <w:t>医用固定带、膝关节固定带</w:t>
      </w:r>
      <w:r>
        <w:rPr>
          <w:rFonts w:hint="eastAsia" w:asciiTheme="minorEastAsia" w:hAnsiTheme="minorEastAsia" w:eastAsiaTheme="minorEastAsia" w:cstheme="minorEastAsia"/>
          <w:b/>
          <w:sz w:val="32"/>
          <w:szCs w:val="32"/>
        </w:rPr>
        <w:t>参数要求</w:t>
      </w:r>
    </w:p>
    <w:tbl>
      <w:tblPr>
        <w:tblStyle w:val="4"/>
        <w:tblpPr w:leftFromText="180" w:rightFromText="180" w:vertAnchor="text" w:tblpXSpec="center" w:tblpY="324"/>
        <w:tblOverlap w:val="never"/>
        <w:tblW w:w="10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8373"/>
        <w:gridCol w:w="911"/>
        <w:gridCol w:w="934"/>
      </w:tblGrid>
      <w:tr w14:paraId="3E8C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285DEF2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8373" w:type="dxa"/>
            <w:noWrap w:val="0"/>
            <w:vAlign w:val="center"/>
          </w:tcPr>
          <w:p w14:paraId="2FA70F3A">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911" w:type="dxa"/>
            <w:noWrap w:val="0"/>
            <w:vAlign w:val="center"/>
          </w:tcPr>
          <w:p w14:paraId="502A173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934" w:type="dxa"/>
            <w:noWrap w:val="0"/>
            <w:vAlign w:val="center"/>
          </w:tcPr>
          <w:p w14:paraId="0C93979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56D9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41" w:type="dxa"/>
            <w:noWrap w:val="0"/>
            <w:vAlign w:val="center"/>
          </w:tcPr>
          <w:p w14:paraId="1B5E984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8373" w:type="dxa"/>
            <w:noWrap w:val="0"/>
            <w:vAlign w:val="center"/>
          </w:tcPr>
          <w:p w14:paraId="75105C79">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医用固定带缝合应牢固、表面光洁、平整。面料松紧一致，无明显皱褶、浮线，针距均匀。缝边要顺直，四角圆弧均匀对称，不得露毛边。垫料应铺衬均匀，并加以定位。</w:t>
            </w:r>
          </w:p>
        </w:tc>
        <w:tc>
          <w:tcPr>
            <w:tcW w:w="911" w:type="dxa"/>
            <w:noWrap w:val="0"/>
            <w:vAlign w:val="center"/>
          </w:tcPr>
          <w:p w14:paraId="484ACA6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20657CC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215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41" w:type="dxa"/>
            <w:noWrap w:val="0"/>
            <w:vAlign w:val="center"/>
          </w:tcPr>
          <w:p w14:paraId="6E4548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8373" w:type="dxa"/>
            <w:noWrap w:val="0"/>
            <w:vAlign w:val="center"/>
          </w:tcPr>
          <w:p w14:paraId="64D8118E">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4"/>
                <w:szCs w:val="24"/>
                <w:lang w:val="en-US" w:eastAsia="zh-CN"/>
              </w:rPr>
              <w:t>医用固定带的钢板、铆钉等部件表面应光滑、洁净、无毛刺及腐蚀痕迹、连接及固定部位应牢固。</w:t>
            </w:r>
          </w:p>
        </w:tc>
        <w:tc>
          <w:tcPr>
            <w:tcW w:w="911" w:type="dxa"/>
            <w:noWrap w:val="0"/>
            <w:vAlign w:val="center"/>
          </w:tcPr>
          <w:p w14:paraId="64259F2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4885B97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A30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541" w:type="dxa"/>
            <w:noWrap w:val="0"/>
            <w:vAlign w:val="center"/>
          </w:tcPr>
          <w:p w14:paraId="5F426EC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8373" w:type="dxa"/>
            <w:noWrap w:val="0"/>
            <w:vAlign w:val="center"/>
          </w:tcPr>
          <w:p w14:paraId="5228A4B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cstheme="minorEastAsia"/>
                <w:color w:val="auto"/>
                <w:kern w:val="2"/>
                <w:sz w:val="24"/>
                <w:szCs w:val="24"/>
                <w:lang w:val="en-US" w:eastAsia="zh-CN" w:bidi="ar-SA"/>
              </w:rPr>
              <w:t>医用固定带正常状态承受10kg重物，历时6h，各部位不得出现开线和断裂现象。</w:t>
            </w:r>
          </w:p>
        </w:tc>
        <w:tc>
          <w:tcPr>
            <w:tcW w:w="911" w:type="dxa"/>
            <w:noWrap w:val="0"/>
            <w:vAlign w:val="center"/>
          </w:tcPr>
          <w:p w14:paraId="4B8A23B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6AB5070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69091DCB">
      <w:pPr>
        <w:rPr>
          <w:rFonts w:hint="eastAsia" w:asciiTheme="minorEastAsia" w:hAnsiTheme="minorEastAsia" w:eastAsiaTheme="minorEastAsia" w:cstheme="minorEastAsia"/>
          <w:color w:val="C00000"/>
          <w:sz w:val="28"/>
          <w:szCs w:val="28"/>
          <w:lang w:val="en-US" w:eastAsia="zh-CN"/>
        </w:rPr>
      </w:pPr>
    </w:p>
    <w:p w14:paraId="60ED8A2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570" w:firstLineChars="800"/>
        <w:jc w:val="both"/>
        <w:textAlignment w:val="auto"/>
        <w:rPr>
          <w:rFonts w:hint="eastAsia" w:asciiTheme="minorEastAsia" w:hAnsiTheme="minorEastAsia" w:eastAsiaTheme="minorEastAsia" w:cstheme="minorEastAsia"/>
          <w:b/>
          <w:sz w:val="36"/>
          <w:szCs w:val="36"/>
        </w:rPr>
      </w:pPr>
      <w:r>
        <w:rPr>
          <w:rFonts w:hint="eastAsia" w:asciiTheme="minorEastAsia" w:hAnsiTheme="minorEastAsia" w:cstheme="minorEastAsia"/>
          <w:b/>
          <w:sz w:val="32"/>
          <w:szCs w:val="32"/>
          <w:lang w:eastAsia="zh-CN"/>
        </w:rPr>
        <w:t>可调式固定支具</w:t>
      </w:r>
      <w:r>
        <w:rPr>
          <w:rFonts w:hint="eastAsia" w:asciiTheme="minorEastAsia" w:hAnsiTheme="minorEastAsia" w:eastAsiaTheme="minorEastAsia" w:cstheme="minorEastAsia"/>
          <w:b/>
          <w:sz w:val="32"/>
          <w:szCs w:val="32"/>
        </w:rPr>
        <w:t>参数要求</w:t>
      </w:r>
    </w:p>
    <w:tbl>
      <w:tblPr>
        <w:tblStyle w:val="4"/>
        <w:tblpPr w:leftFromText="180" w:rightFromText="180" w:vertAnchor="text" w:tblpXSpec="center" w:tblpY="324"/>
        <w:tblOverlap w:val="never"/>
        <w:tblW w:w="10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8373"/>
        <w:gridCol w:w="911"/>
        <w:gridCol w:w="934"/>
      </w:tblGrid>
      <w:tr w14:paraId="5052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5A2106F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8373" w:type="dxa"/>
            <w:noWrap w:val="0"/>
            <w:vAlign w:val="center"/>
          </w:tcPr>
          <w:p w14:paraId="6718B533">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911" w:type="dxa"/>
            <w:noWrap w:val="0"/>
            <w:vAlign w:val="center"/>
          </w:tcPr>
          <w:p w14:paraId="7AC0311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934" w:type="dxa"/>
            <w:noWrap w:val="0"/>
            <w:vAlign w:val="center"/>
          </w:tcPr>
          <w:p w14:paraId="588B627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0B08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41" w:type="dxa"/>
            <w:noWrap w:val="0"/>
            <w:vAlign w:val="center"/>
          </w:tcPr>
          <w:p w14:paraId="1069695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8373" w:type="dxa"/>
            <w:noWrap w:val="0"/>
            <w:vAlign w:val="center"/>
          </w:tcPr>
          <w:p w14:paraId="6D07B5FA">
            <w:pPr>
              <w:numPr>
                <w:ilvl w:val="0"/>
                <w:numId w:val="0"/>
              </w:num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产品的衬垫缝合应牢固、表面光洁、平整。塑料板表面光滑、平整无毛刺。</w:t>
            </w:r>
          </w:p>
        </w:tc>
        <w:tc>
          <w:tcPr>
            <w:tcW w:w="911" w:type="dxa"/>
            <w:noWrap w:val="0"/>
            <w:vAlign w:val="center"/>
          </w:tcPr>
          <w:p w14:paraId="4FBCE23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12FCE97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256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41" w:type="dxa"/>
            <w:noWrap w:val="0"/>
            <w:vAlign w:val="center"/>
          </w:tcPr>
          <w:p w14:paraId="1741C02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8373" w:type="dxa"/>
            <w:noWrap w:val="0"/>
            <w:vAlign w:val="center"/>
          </w:tcPr>
          <w:p w14:paraId="3086CF5D">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4"/>
                <w:szCs w:val="24"/>
                <w:lang w:val="en-US" w:eastAsia="zh-CN"/>
              </w:rPr>
              <w:t>产品铝合金板、铆钉等金属部件表面应光滑、洁净、无毛刺、连接及固定部位应牢固。</w:t>
            </w:r>
          </w:p>
        </w:tc>
        <w:tc>
          <w:tcPr>
            <w:tcW w:w="911" w:type="dxa"/>
            <w:noWrap w:val="0"/>
            <w:vAlign w:val="center"/>
          </w:tcPr>
          <w:p w14:paraId="4230B8E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25E13B0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BA3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541" w:type="dxa"/>
            <w:noWrap w:val="0"/>
            <w:vAlign w:val="center"/>
          </w:tcPr>
          <w:p w14:paraId="75A46BA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8373" w:type="dxa"/>
            <w:noWrap w:val="0"/>
            <w:vAlign w:val="center"/>
          </w:tcPr>
          <w:p w14:paraId="6218B18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kern w:val="2"/>
                <w:sz w:val="24"/>
                <w:szCs w:val="24"/>
                <w:vertAlign w:val="baseline"/>
                <w:lang w:val="en-US" w:eastAsia="zh-CN" w:bidi="ar-SA"/>
              </w:rPr>
            </w:pPr>
            <w:r>
              <w:rPr>
                <w:rFonts w:hint="eastAsia" w:asciiTheme="minorEastAsia" w:hAnsiTheme="minorEastAsia" w:cstheme="minorEastAsia"/>
                <w:color w:val="auto"/>
                <w:kern w:val="2"/>
                <w:sz w:val="24"/>
                <w:szCs w:val="24"/>
                <w:lang w:val="en-US" w:eastAsia="zh-CN" w:bidi="ar-SA"/>
              </w:rPr>
              <w:t>可调式膝关节固定支具角度最小角度60</w:t>
            </w:r>
            <w:r>
              <w:rPr>
                <w:rFonts w:hint="eastAsia" w:asciiTheme="minorEastAsia" w:hAnsiTheme="minorEastAsia" w:cstheme="minorEastAsia"/>
                <w:color w:val="auto"/>
                <w:kern w:val="2"/>
                <w:sz w:val="24"/>
                <w:szCs w:val="24"/>
                <w:vertAlign w:val="superscript"/>
                <w:lang w:val="en-US" w:eastAsia="zh-CN" w:bidi="ar-SA"/>
              </w:rPr>
              <w:t>0</w:t>
            </w:r>
            <w:r>
              <w:rPr>
                <w:rFonts w:hint="eastAsia" w:asciiTheme="minorEastAsia" w:hAnsiTheme="minorEastAsia" w:cstheme="minorEastAsia"/>
                <w:color w:val="auto"/>
                <w:kern w:val="2"/>
                <w:sz w:val="24"/>
                <w:szCs w:val="24"/>
                <w:lang w:val="en-US" w:eastAsia="zh-CN" w:bidi="ar-SA"/>
              </w:rPr>
              <w:t>，最大角度180</w:t>
            </w:r>
            <w:r>
              <w:rPr>
                <w:rFonts w:hint="eastAsia" w:asciiTheme="minorEastAsia" w:hAnsiTheme="minorEastAsia" w:cstheme="minorEastAsia"/>
                <w:color w:val="auto"/>
                <w:kern w:val="2"/>
                <w:sz w:val="24"/>
                <w:szCs w:val="24"/>
                <w:vertAlign w:val="superscript"/>
                <w:lang w:val="en-US" w:eastAsia="zh-CN" w:bidi="ar-SA"/>
              </w:rPr>
              <w:t>0</w:t>
            </w:r>
            <w:r>
              <w:rPr>
                <w:rFonts w:hint="eastAsia" w:asciiTheme="minorEastAsia" w:hAnsiTheme="minorEastAsia" w:cstheme="minorEastAsia"/>
                <w:color w:val="auto"/>
                <w:kern w:val="2"/>
                <w:sz w:val="24"/>
                <w:szCs w:val="24"/>
                <w:vertAlign w:val="baseline"/>
                <w:lang w:val="en-US" w:eastAsia="zh-CN" w:bidi="ar-SA"/>
              </w:rPr>
              <w:t>。可在</w:t>
            </w:r>
            <w:r>
              <w:rPr>
                <w:rFonts w:hint="eastAsia" w:asciiTheme="minorEastAsia" w:hAnsiTheme="minorEastAsia" w:cstheme="minorEastAsia"/>
                <w:color w:val="auto"/>
                <w:kern w:val="2"/>
                <w:sz w:val="24"/>
                <w:szCs w:val="24"/>
                <w:lang w:val="en-US" w:eastAsia="zh-CN" w:bidi="ar-SA"/>
              </w:rPr>
              <w:t>60</w:t>
            </w:r>
            <w:r>
              <w:rPr>
                <w:rFonts w:hint="eastAsia" w:asciiTheme="minorEastAsia" w:hAnsiTheme="minorEastAsia" w:cstheme="minorEastAsia"/>
                <w:color w:val="auto"/>
                <w:kern w:val="2"/>
                <w:sz w:val="24"/>
                <w:szCs w:val="24"/>
                <w:vertAlign w:val="superscript"/>
                <w:lang w:val="en-US" w:eastAsia="zh-CN" w:bidi="ar-SA"/>
              </w:rPr>
              <w:t>0</w:t>
            </w:r>
            <w:r>
              <w:rPr>
                <w:rFonts w:hint="eastAsia" w:asciiTheme="minorEastAsia" w:hAnsiTheme="minorEastAsia" w:cstheme="minorEastAsia"/>
                <w:color w:val="auto"/>
                <w:kern w:val="2"/>
                <w:sz w:val="24"/>
                <w:szCs w:val="24"/>
                <w:vertAlign w:val="baseline"/>
                <w:lang w:val="en-US" w:eastAsia="zh-CN" w:bidi="ar-SA"/>
              </w:rPr>
              <w:t>-</w:t>
            </w:r>
            <w:r>
              <w:rPr>
                <w:rFonts w:hint="eastAsia" w:asciiTheme="minorEastAsia" w:hAnsiTheme="minorEastAsia" w:cstheme="minorEastAsia"/>
                <w:color w:val="auto"/>
                <w:kern w:val="2"/>
                <w:sz w:val="24"/>
                <w:szCs w:val="24"/>
                <w:lang w:val="en-US" w:eastAsia="zh-CN" w:bidi="ar-SA"/>
              </w:rPr>
              <w:t>180</w:t>
            </w:r>
            <w:r>
              <w:rPr>
                <w:rFonts w:hint="eastAsia" w:asciiTheme="minorEastAsia" w:hAnsiTheme="minorEastAsia" w:cstheme="minorEastAsia"/>
                <w:color w:val="auto"/>
                <w:kern w:val="2"/>
                <w:sz w:val="24"/>
                <w:szCs w:val="24"/>
                <w:vertAlign w:val="superscript"/>
                <w:lang w:val="en-US" w:eastAsia="zh-CN" w:bidi="ar-SA"/>
              </w:rPr>
              <w:t>0</w:t>
            </w:r>
            <w:r>
              <w:rPr>
                <w:rFonts w:hint="eastAsia" w:asciiTheme="minorEastAsia" w:hAnsiTheme="minorEastAsia" w:cstheme="minorEastAsia"/>
                <w:color w:val="auto"/>
                <w:kern w:val="2"/>
                <w:sz w:val="24"/>
                <w:szCs w:val="24"/>
                <w:vertAlign w:val="baseline"/>
                <w:lang w:val="en-US" w:eastAsia="zh-CN" w:bidi="ar-SA"/>
              </w:rPr>
              <w:t>之间任意调节。</w:t>
            </w:r>
          </w:p>
        </w:tc>
        <w:tc>
          <w:tcPr>
            <w:tcW w:w="911" w:type="dxa"/>
            <w:noWrap w:val="0"/>
            <w:vAlign w:val="center"/>
          </w:tcPr>
          <w:p w14:paraId="3F9F502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0C88637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449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541" w:type="dxa"/>
            <w:noWrap w:val="0"/>
            <w:vAlign w:val="center"/>
          </w:tcPr>
          <w:p w14:paraId="1126CAB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w:t>
            </w:r>
          </w:p>
          <w:p w14:paraId="65CF602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lang w:eastAsia="zh-CN"/>
              </w:rPr>
            </w:pPr>
          </w:p>
        </w:tc>
        <w:tc>
          <w:tcPr>
            <w:tcW w:w="8373" w:type="dxa"/>
            <w:noWrap w:val="0"/>
            <w:vAlign w:val="center"/>
          </w:tcPr>
          <w:p w14:paraId="26E4574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铝合金板的厚度不低于2mm。</w:t>
            </w:r>
          </w:p>
        </w:tc>
        <w:tc>
          <w:tcPr>
            <w:tcW w:w="911" w:type="dxa"/>
            <w:noWrap w:val="0"/>
            <w:vAlign w:val="center"/>
          </w:tcPr>
          <w:p w14:paraId="37135A1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659FEAC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6E4A1C3E">
      <w:pPr>
        <w:rPr>
          <w:rFonts w:hint="eastAsia" w:asciiTheme="minorEastAsia" w:hAnsiTheme="minorEastAsia" w:eastAsiaTheme="minorEastAsia" w:cstheme="minorEastAsia"/>
          <w:color w:val="C00000"/>
          <w:sz w:val="28"/>
          <w:szCs w:val="28"/>
          <w:lang w:val="en-US" w:eastAsia="zh-CN"/>
        </w:rPr>
      </w:pPr>
    </w:p>
    <w:p w14:paraId="7607280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570" w:firstLineChars="800"/>
        <w:jc w:val="both"/>
        <w:textAlignment w:val="auto"/>
        <w:rPr>
          <w:rFonts w:hint="eastAsia" w:asciiTheme="minorEastAsia" w:hAnsiTheme="minorEastAsia" w:cstheme="minorEastAsia"/>
          <w:b/>
          <w:sz w:val="32"/>
          <w:szCs w:val="32"/>
          <w:lang w:eastAsia="zh-CN"/>
        </w:rPr>
      </w:pPr>
    </w:p>
    <w:p w14:paraId="1EC453C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570" w:firstLineChars="800"/>
        <w:jc w:val="both"/>
        <w:textAlignment w:val="auto"/>
        <w:rPr>
          <w:rFonts w:hint="eastAsia" w:asciiTheme="minorEastAsia" w:hAnsiTheme="minorEastAsia" w:cstheme="minorEastAsia"/>
          <w:b/>
          <w:sz w:val="32"/>
          <w:szCs w:val="32"/>
          <w:lang w:eastAsia="zh-CN"/>
        </w:rPr>
      </w:pPr>
    </w:p>
    <w:p w14:paraId="38F1360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570" w:firstLineChars="800"/>
        <w:jc w:val="both"/>
        <w:textAlignment w:val="auto"/>
        <w:rPr>
          <w:rFonts w:hint="eastAsia" w:asciiTheme="minorEastAsia" w:hAnsiTheme="minorEastAsia" w:cstheme="minorEastAsia"/>
          <w:b/>
          <w:sz w:val="32"/>
          <w:szCs w:val="32"/>
          <w:lang w:eastAsia="zh-CN"/>
        </w:rPr>
      </w:pPr>
    </w:p>
    <w:p w14:paraId="237DA7A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570" w:firstLineChars="800"/>
        <w:jc w:val="both"/>
        <w:textAlignment w:val="auto"/>
        <w:rPr>
          <w:rFonts w:hint="eastAsia" w:asciiTheme="minorEastAsia" w:hAnsiTheme="minorEastAsia" w:cstheme="minorEastAsia"/>
          <w:b/>
          <w:sz w:val="32"/>
          <w:szCs w:val="32"/>
          <w:lang w:eastAsia="zh-CN"/>
        </w:rPr>
      </w:pPr>
    </w:p>
    <w:p w14:paraId="13CE77D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570" w:firstLineChars="800"/>
        <w:jc w:val="both"/>
        <w:textAlignment w:val="auto"/>
        <w:rPr>
          <w:rFonts w:hint="eastAsia" w:asciiTheme="minorEastAsia" w:hAnsiTheme="minorEastAsia" w:eastAsiaTheme="minorEastAsia" w:cstheme="minorEastAsia"/>
          <w:b/>
          <w:sz w:val="36"/>
          <w:szCs w:val="36"/>
        </w:rPr>
      </w:pPr>
      <w:r>
        <w:rPr>
          <w:rFonts w:hint="eastAsia" w:asciiTheme="minorEastAsia" w:hAnsiTheme="minorEastAsia" w:cstheme="minorEastAsia"/>
          <w:b/>
          <w:sz w:val="32"/>
          <w:szCs w:val="32"/>
          <w:lang w:eastAsia="zh-CN"/>
        </w:rPr>
        <w:t>髋关节股骨柄</w:t>
      </w:r>
      <w:r>
        <w:rPr>
          <w:rFonts w:hint="eastAsia" w:asciiTheme="minorEastAsia" w:hAnsiTheme="minorEastAsia" w:eastAsiaTheme="minorEastAsia" w:cstheme="minorEastAsia"/>
          <w:b/>
          <w:sz w:val="32"/>
          <w:szCs w:val="32"/>
        </w:rPr>
        <w:t>参数要求</w:t>
      </w:r>
    </w:p>
    <w:tbl>
      <w:tblPr>
        <w:tblStyle w:val="4"/>
        <w:tblpPr w:leftFromText="180" w:rightFromText="180" w:vertAnchor="text" w:tblpXSpec="center" w:tblpY="324"/>
        <w:tblOverlap w:val="never"/>
        <w:tblW w:w="10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8373"/>
        <w:gridCol w:w="911"/>
        <w:gridCol w:w="934"/>
      </w:tblGrid>
      <w:tr w14:paraId="1A72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1C000251">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序号</w:t>
            </w:r>
          </w:p>
        </w:tc>
        <w:tc>
          <w:tcPr>
            <w:tcW w:w="8373" w:type="dxa"/>
            <w:noWrap w:val="0"/>
            <w:vAlign w:val="center"/>
          </w:tcPr>
          <w:p w14:paraId="16A0BB50">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参数技术要求</w:t>
            </w:r>
          </w:p>
        </w:tc>
        <w:tc>
          <w:tcPr>
            <w:tcW w:w="911" w:type="dxa"/>
            <w:noWrap w:val="0"/>
            <w:vAlign w:val="center"/>
          </w:tcPr>
          <w:p w14:paraId="5B56F8E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正负偏离指标</w:t>
            </w:r>
          </w:p>
        </w:tc>
        <w:tc>
          <w:tcPr>
            <w:tcW w:w="934" w:type="dxa"/>
            <w:noWrap w:val="0"/>
            <w:vAlign w:val="center"/>
          </w:tcPr>
          <w:p w14:paraId="6DC118B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备注</w:t>
            </w:r>
          </w:p>
        </w:tc>
      </w:tr>
      <w:tr w14:paraId="5B7B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541" w:type="dxa"/>
            <w:noWrap w:val="0"/>
            <w:vAlign w:val="center"/>
          </w:tcPr>
          <w:p w14:paraId="560E3244">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8373" w:type="dxa"/>
            <w:noWrap w:val="0"/>
            <w:vAlign w:val="center"/>
          </w:tcPr>
          <w:p w14:paraId="4C86F71A">
            <w:pPr>
              <w:numPr>
                <w:ilvl w:val="0"/>
                <w:numId w:val="0"/>
              </w:numPr>
              <w:spacing w:line="360" w:lineRule="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适用于股骨假体周围或假体远端骨折的股骨假体松动需要进行翻修者。</w:t>
            </w:r>
          </w:p>
        </w:tc>
        <w:tc>
          <w:tcPr>
            <w:tcW w:w="911" w:type="dxa"/>
            <w:noWrap w:val="0"/>
            <w:vAlign w:val="center"/>
          </w:tcPr>
          <w:p w14:paraId="22EC09C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6622A3C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CCA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541" w:type="dxa"/>
            <w:noWrap w:val="0"/>
            <w:vAlign w:val="center"/>
          </w:tcPr>
          <w:p w14:paraId="6B1283E7">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8373" w:type="dxa"/>
            <w:noWrap w:val="0"/>
            <w:vAlign w:val="center"/>
          </w:tcPr>
          <w:p w14:paraId="45EE0C70">
            <w:pPr>
              <w:keepNext w:val="0"/>
              <w:keepLines w:val="0"/>
              <w:pageBreakBefore w:val="0"/>
              <w:widowControl w:val="0"/>
              <w:kinsoku/>
              <w:wordWrap/>
              <w:overflowPunct/>
              <w:topLinePunct w:val="0"/>
              <w:autoSpaceDE/>
              <w:bidi w:val="0"/>
              <w:adjustRightInd/>
              <w:snapToGrid/>
              <w:spacing w:line="240" w:lineRule="exact"/>
              <w:jc w:val="both"/>
              <w:textAlignment w:val="auto"/>
              <w:rPr>
                <w:rFonts w:hint="default" w:asciiTheme="minorEastAsia" w:hAnsiTheme="minorEastAsia" w:eastAsiaTheme="minorEastAsia" w:cstheme="minorEastAsia"/>
                <w:color w:val="auto"/>
                <w:sz w:val="21"/>
                <w:szCs w:val="21"/>
                <w:vertAlign w:val="baseline"/>
                <w:lang w:val="en-US" w:eastAsia="zh-CN"/>
              </w:rPr>
            </w:pPr>
            <w:r>
              <w:rPr>
                <w:rFonts w:hint="eastAsia" w:asciiTheme="minorEastAsia" w:hAnsiTheme="minorEastAsia" w:cstheme="minorEastAsia"/>
                <w:color w:val="auto"/>
                <w:sz w:val="24"/>
                <w:szCs w:val="24"/>
                <w:lang w:val="en-US" w:eastAsia="zh-CN"/>
              </w:rPr>
              <w:t>柄体外形带2</w:t>
            </w:r>
            <w:r>
              <w:rPr>
                <w:rFonts w:hint="eastAsia" w:asciiTheme="minorEastAsia" w:hAnsiTheme="minorEastAsia" w:cstheme="minorEastAsia"/>
                <w:color w:val="auto"/>
                <w:sz w:val="24"/>
                <w:szCs w:val="24"/>
                <w:vertAlign w:val="superscript"/>
                <w:lang w:val="en-US" w:eastAsia="zh-CN"/>
              </w:rPr>
              <w:t>0</w:t>
            </w:r>
            <w:r>
              <w:rPr>
                <w:rFonts w:hint="eastAsia" w:asciiTheme="minorEastAsia" w:hAnsiTheme="minorEastAsia" w:cstheme="minorEastAsia"/>
                <w:color w:val="auto"/>
                <w:sz w:val="24"/>
                <w:szCs w:val="24"/>
                <w:vertAlign w:val="baseline"/>
                <w:lang w:val="en-US" w:eastAsia="zh-CN"/>
              </w:rPr>
              <w:t>轴向锥度，压配稳定。</w:t>
            </w:r>
          </w:p>
        </w:tc>
        <w:tc>
          <w:tcPr>
            <w:tcW w:w="911" w:type="dxa"/>
            <w:noWrap w:val="0"/>
            <w:vAlign w:val="center"/>
          </w:tcPr>
          <w:p w14:paraId="7B1C18A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23923B7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235B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541" w:type="dxa"/>
            <w:noWrap w:val="0"/>
            <w:vAlign w:val="center"/>
          </w:tcPr>
          <w:p w14:paraId="16C2482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w:t>
            </w:r>
          </w:p>
        </w:tc>
        <w:tc>
          <w:tcPr>
            <w:tcW w:w="8373" w:type="dxa"/>
            <w:noWrap w:val="0"/>
            <w:vAlign w:val="center"/>
          </w:tcPr>
          <w:p w14:paraId="4FAEA78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color w:val="auto"/>
                <w:kern w:val="2"/>
                <w:sz w:val="24"/>
                <w:szCs w:val="24"/>
                <w:vertAlign w:val="baseline"/>
                <w:lang w:val="en-US" w:eastAsia="zh-CN" w:bidi="ar-SA"/>
              </w:rPr>
            </w:pPr>
            <w:r>
              <w:rPr>
                <w:rFonts w:hint="eastAsia" w:asciiTheme="minorEastAsia" w:hAnsiTheme="minorEastAsia" w:cstheme="minorEastAsia"/>
                <w:color w:val="auto"/>
                <w:kern w:val="2"/>
                <w:sz w:val="24"/>
                <w:szCs w:val="24"/>
                <w:lang w:val="en-US" w:eastAsia="zh-CN" w:bidi="ar-SA"/>
              </w:rPr>
              <w:t>假体翅突（嵴）有7</w:t>
            </w:r>
            <w:r>
              <w:rPr>
                <w:rFonts w:hint="eastAsia" w:asciiTheme="minorEastAsia" w:hAnsiTheme="minorEastAsia" w:cstheme="minorEastAsia"/>
                <w:color w:val="auto"/>
                <w:kern w:val="2"/>
                <w:sz w:val="24"/>
                <w:szCs w:val="24"/>
                <w:vertAlign w:val="superscript"/>
                <w:lang w:val="en-US" w:eastAsia="zh-CN" w:bidi="ar-SA"/>
              </w:rPr>
              <w:t>0</w:t>
            </w:r>
            <w:r>
              <w:rPr>
                <w:rFonts w:hint="eastAsia" w:asciiTheme="minorEastAsia" w:hAnsiTheme="minorEastAsia" w:cstheme="minorEastAsia"/>
                <w:color w:val="auto"/>
                <w:kern w:val="2"/>
                <w:sz w:val="24"/>
                <w:szCs w:val="24"/>
                <w:vertAlign w:val="baseline"/>
                <w:lang w:val="en-US" w:eastAsia="zh-CN" w:bidi="ar-SA"/>
              </w:rPr>
              <w:t>径向锥度，易于打入，不易折断。</w:t>
            </w:r>
          </w:p>
        </w:tc>
        <w:tc>
          <w:tcPr>
            <w:tcW w:w="911" w:type="dxa"/>
            <w:noWrap w:val="0"/>
            <w:vAlign w:val="center"/>
          </w:tcPr>
          <w:p w14:paraId="5E42E23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5D31C57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48AF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541" w:type="dxa"/>
            <w:noWrap w:val="0"/>
            <w:vAlign w:val="center"/>
          </w:tcPr>
          <w:p w14:paraId="276837C3">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w:t>
            </w:r>
          </w:p>
          <w:p w14:paraId="23908340">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Theme="minorEastAsia" w:hAnsiTheme="minorEastAsia" w:eastAsiaTheme="minorEastAsia" w:cstheme="minorEastAsia"/>
                <w:color w:val="auto"/>
                <w:sz w:val="24"/>
                <w:szCs w:val="24"/>
                <w:lang w:eastAsia="zh-CN"/>
              </w:rPr>
            </w:pPr>
          </w:p>
        </w:tc>
        <w:tc>
          <w:tcPr>
            <w:tcW w:w="8373" w:type="dxa"/>
            <w:noWrap w:val="0"/>
            <w:vAlign w:val="center"/>
          </w:tcPr>
          <w:p w14:paraId="020F83C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全长翅突锚固，增加柄体表面积、增强抗旋转性和轴向初始稳定性。</w:t>
            </w:r>
          </w:p>
        </w:tc>
        <w:tc>
          <w:tcPr>
            <w:tcW w:w="911" w:type="dxa"/>
            <w:noWrap w:val="0"/>
            <w:vAlign w:val="center"/>
          </w:tcPr>
          <w:p w14:paraId="45BBDD0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7662A74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64DF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541" w:type="dxa"/>
            <w:noWrap w:val="0"/>
            <w:vAlign w:val="center"/>
          </w:tcPr>
          <w:p w14:paraId="6663093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p>
        </w:tc>
        <w:tc>
          <w:tcPr>
            <w:tcW w:w="8373" w:type="dxa"/>
            <w:noWrap w:val="0"/>
            <w:vAlign w:val="center"/>
          </w:tcPr>
          <w:p w14:paraId="441BD0D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钛合金材质。</w:t>
            </w:r>
          </w:p>
        </w:tc>
        <w:tc>
          <w:tcPr>
            <w:tcW w:w="911" w:type="dxa"/>
            <w:noWrap w:val="0"/>
            <w:vAlign w:val="center"/>
          </w:tcPr>
          <w:p w14:paraId="0BF2E9E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43BC1BD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3090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41" w:type="dxa"/>
            <w:noWrap w:val="0"/>
            <w:vAlign w:val="center"/>
          </w:tcPr>
          <w:p w14:paraId="6585A5E7">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p>
        </w:tc>
        <w:tc>
          <w:tcPr>
            <w:tcW w:w="8373" w:type="dxa"/>
            <w:noWrap w:val="0"/>
            <w:vAlign w:val="center"/>
          </w:tcPr>
          <w:p w14:paraId="718C068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柄体长度：2种长度可供选择，170mm、205mm可适应大多数翻修手术需求。</w:t>
            </w:r>
          </w:p>
        </w:tc>
        <w:tc>
          <w:tcPr>
            <w:tcW w:w="911" w:type="dxa"/>
            <w:noWrap w:val="0"/>
            <w:vAlign w:val="center"/>
          </w:tcPr>
          <w:p w14:paraId="275830D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2758091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r w14:paraId="307D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41" w:type="dxa"/>
            <w:noWrap w:val="0"/>
            <w:vAlign w:val="center"/>
          </w:tcPr>
          <w:p w14:paraId="07D1D3EA">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p>
        </w:tc>
        <w:tc>
          <w:tcPr>
            <w:tcW w:w="8373" w:type="dxa"/>
            <w:noWrap w:val="0"/>
            <w:vAlign w:val="center"/>
          </w:tcPr>
          <w:p w14:paraId="6504CAE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cstheme="minorEastAsia"/>
                <w:b w:val="0"/>
                <w:bCs w:val="0"/>
                <w:color w:val="auto"/>
                <w:kern w:val="2"/>
                <w:sz w:val="24"/>
                <w:szCs w:val="24"/>
                <w:lang w:val="en-US" w:eastAsia="zh-CN" w:bidi="ar-SA"/>
              </w:rPr>
              <w:t>具有27位医保编码。</w:t>
            </w:r>
          </w:p>
        </w:tc>
        <w:tc>
          <w:tcPr>
            <w:tcW w:w="911" w:type="dxa"/>
            <w:noWrap w:val="0"/>
            <w:vAlign w:val="center"/>
          </w:tcPr>
          <w:p w14:paraId="1008045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c>
          <w:tcPr>
            <w:tcW w:w="934" w:type="dxa"/>
            <w:noWrap w:val="0"/>
            <w:vAlign w:val="center"/>
          </w:tcPr>
          <w:p w14:paraId="49DB258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Theme="minorEastAsia" w:hAnsiTheme="minorEastAsia" w:eastAsiaTheme="minorEastAsia" w:cstheme="minorEastAsia"/>
                <w:color w:val="auto"/>
                <w:sz w:val="24"/>
                <w:szCs w:val="24"/>
              </w:rPr>
            </w:pPr>
          </w:p>
        </w:tc>
      </w:tr>
    </w:tbl>
    <w:p w14:paraId="08F9397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C00000"/>
          <w:sz w:val="28"/>
          <w:szCs w:val="28"/>
          <w:lang w:val="en-US" w:eastAsia="zh-CN"/>
        </w:rPr>
      </w:pPr>
      <w:r>
        <w:rPr>
          <w:rFonts w:hint="eastAsia" w:asciiTheme="minorEastAsia" w:hAnsiTheme="minorEastAsia" w:cstheme="minorEastAsia"/>
          <w:color w:val="C00000"/>
          <w:sz w:val="28"/>
          <w:szCs w:val="28"/>
          <w:lang w:val="en-US" w:eastAsia="zh-CN"/>
        </w:rPr>
        <w:t>以上</w:t>
      </w:r>
      <w:r>
        <w:rPr>
          <w:rFonts w:hint="eastAsia" w:asciiTheme="minorEastAsia" w:hAnsiTheme="minorEastAsia" w:eastAsiaTheme="minorEastAsia" w:cstheme="minorEastAsia"/>
          <w:color w:val="C00000"/>
          <w:sz w:val="28"/>
          <w:szCs w:val="28"/>
          <w:lang w:val="en-US" w:eastAsia="zh-CN"/>
        </w:rPr>
        <w:t>所有参数，仅供招标采购技术指导，部分条款不限于此，不具有产品指定性。走第三方集中配送。</w:t>
      </w:r>
      <w:r>
        <w:rPr>
          <w:rFonts w:hint="eastAsia"/>
          <w:color w:val="C00000"/>
          <w:sz w:val="28"/>
          <w:szCs w:val="28"/>
          <w:lang w:val="en-US" w:eastAsia="zh-CN"/>
        </w:rPr>
        <w:t xml:space="preserve">正确填写本表，对应参数响应请在产品说明书中标示或提供证明材料。 标“*”项为重点项。     </w:t>
      </w:r>
    </w:p>
    <w:p w14:paraId="4B802C47">
      <w:pPr>
        <w:rPr>
          <w:rFonts w:hint="eastAsia" w:asciiTheme="minorEastAsia" w:hAnsiTheme="minorEastAsia" w:eastAsiaTheme="minorEastAsia" w:cstheme="minorEastAsia"/>
          <w:color w:val="C00000"/>
          <w:sz w:val="28"/>
          <w:szCs w:val="28"/>
          <w:lang w:val="en-US" w:eastAsia="zh-CN"/>
        </w:rPr>
      </w:pPr>
    </w:p>
    <w:p w14:paraId="16C06176">
      <w:pPr>
        <w:rPr>
          <w:rFonts w:hint="eastAsia" w:asciiTheme="minorEastAsia" w:hAnsiTheme="minorEastAsia" w:eastAsiaTheme="minorEastAsia" w:cstheme="minorEastAsia"/>
          <w:color w:val="C00000"/>
          <w:sz w:val="28"/>
          <w:szCs w:val="28"/>
          <w:lang w:val="en-US" w:eastAsia="zh-CN"/>
        </w:rPr>
      </w:pPr>
    </w:p>
    <w:p w14:paraId="474620C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color w:val="C00000"/>
          <w:sz w:val="28"/>
          <w:szCs w:val="28"/>
          <w:lang w:val="en-US" w:eastAsia="zh-CN"/>
        </w:rPr>
      </w:pPr>
      <w:r>
        <w:rPr>
          <w:rFonts w:hint="eastAsia" w:asciiTheme="minorEastAsia" w:hAnsiTheme="minorEastAsia" w:cstheme="minorEastAsia"/>
          <w:color w:val="auto"/>
          <w:sz w:val="28"/>
          <w:szCs w:val="28"/>
          <w:lang w:val="en-US" w:eastAsia="zh-CN"/>
        </w:rPr>
        <w:t xml:space="preserve"> </w:t>
      </w:r>
      <w:r>
        <w:rPr>
          <w:rFonts w:hint="eastAsia" w:asciiTheme="minorEastAsia" w:hAnsiTheme="minorEastAsia" w:cstheme="minorEastAsia"/>
          <w:color w:val="C00000"/>
          <w:sz w:val="28"/>
          <w:szCs w:val="28"/>
          <w:lang w:val="en-US" w:eastAsia="zh-CN"/>
        </w:rPr>
        <w:t xml:space="preserve">   </w:t>
      </w:r>
    </w:p>
    <w:sectPr>
      <w:pgSz w:w="11906" w:h="16838"/>
      <w:pgMar w:top="1270" w:right="1293" w:bottom="127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GVmMzhlYjFjZDNmZTE4MWY5MWRmZWVkZWYxMzYifQ=="/>
  </w:docVars>
  <w:rsids>
    <w:rsidRoot w:val="056A3C41"/>
    <w:rsid w:val="00785A16"/>
    <w:rsid w:val="0304067F"/>
    <w:rsid w:val="03D34F6D"/>
    <w:rsid w:val="04F15130"/>
    <w:rsid w:val="05555A51"/>
    <w:rsid w:val="056A3C41"/>
    <w:rsid w:val="14483D96"/>
    <w:rsid w:val="15E6759D"/>
    <w:rsid w:val="180C27CE"/>
    <w:rsid w:val="182431F0"/>
    <w:rsid w:val="19820FF2"/>
    <w:rsid w:val="1D1012D8"/>
    <w:rsid w:val="216B0C7F"/>
    <w:rsid w:val="22A57183"/>
    <w:rsid w:val="247B32EF"/>
    <w:rsid w:val="26D596C8"/>
    <w:rsid w:val="2724059D"/>
    <w:rsid w:val="2C4A3B21"/>
    <w:rsid w:val="2F666452"/>
    <w:rsid w:val="33C31EDC"/>
    <w:rsid w:val="35314CB1"/>
    <w:rsid w:val="35DC660B"/>
    <w:rsid w:val="360008E9"/>
    <w:rsid w:val="361A4A7B"/>
    <w:rsid w:val="3655E191"/>
    <w:rsid w:val="3692227A"/>
    <w:rsid w:val="37FD7FA9"/>
    <w:rsid w:val="38211B9D"/>
    <w:rsid w:val="39E80A65"/>
    <w:rsid w:val="3A77A9F9"/>
    <w:rsid w:val="3B471779"/>
    <w:rsid w:val="3E77D1A7"/>
    <w:rsid w:val="3ED50CA5"/>
    <w:rsid w:val="3FFD7F43"/>
    <w:rsid w:val="40186E05"/>
    <w:rsid w:val="423B7645"/>
    <w:rsid w:val="4BDD3FF6"/>
    <w:rsid w:val="56BFDC07"/>
    <w:rsid w:val="56CD124E"/>
    <w:rsid w:val="5866674F"/>
    <w:rsid w:val="586B51E9"/>
    <w:rsid w:val="5A252C23"/>
    <w:rsid w:val="5F8768C6"/>
    <w:rsid w:val="63230774"/>
    <w:rsid w:val="64CC2446"/>
    <w:rsid w:val="65C53F73"/>
    <w:rsid w:val="65FFEBAF"/>
    <w:rsid w:val="667167B1"/>
    <w:rsid w:val="6DEEEAFC"/>
    <w:rsid w:val="6E223E59"/>
    <w:rsid w:val="70BD2481"/>
    <w:rsid w:val="713B58C8"/>
    <w:rsid w:val="720F472F"/>
    <w:rsid w:val="73C73DB1"/>
    <w:rsid w:val="7657E623"/>
    <w:rsid w:val="779B2C34"/>
    <w:rsid w:val="77F536A4"/>
    <w:rsid w:val="77FACF89"/>
    <w:rsid w:val="79D756B5"/>
    <w:rsid w:val="79FFF4CB"/>
    <w:rsid w:val="7CD32BDB"/>
    <w:rsid w:val="7D4143D3"/>
    <w:rsid w:val="7D7F6CFD"/>
    <w:rsid w:val="7DEFB07D"/>
    <w:rsid w:val="7DFA789C"/>
    <w:rsid w:val="7EFF4631"/>
    <w:rsid w:val="7F2CFE83"/>
    <w:rsid w:val="7FAEF83B"/>
    <w:rsid w:val="7FEF3C03"/>
    <w:rsid w:val="7FFFFE38"/>
    <w:rsid w:val="AEBDFD67"/>
    <w:rsid w:val="AFBE0F3A"/>
    <w:rsid w:val="BAFBF985"/>
    <w:rsid w:val="BBBFF03E"/>
    <w:rsid w:val="BCF91372"/>
    <w:rsid w:val="D7D47418"/>
    <w:rsid w:val="DB7F941B"/>
    <w:rsid w:val="DBBAE963"/>
    <w:rsid w:val="DD9540BB"/>
    <w:rsid w:val="DDEED2E9"/>
    <w:rsid w:val="DF7F0BF0"/>
    <w:rsid w:val="DFFFC77C"/>
    <w:rsid w:val="DFFFD76A"/>
    <w:rsid w:val="E5FF6B8C"/>
    <w:rsid w:val="E6CF40B7"/>
    <w:rsid w:val="ED7DC5A8"/>
    <w:rsid w:val="EF7C127C"/>
    <w:rsid w:val="EF7D1065"/>
    <w:rsid w:val="EF7EE8B4"/>
    <w:rsid w:val="F3B7A048"/>
    <w:rsid w:val="F9F70EB2"/>
    <w:rsid w:val="FADF8273"/>
    <w:rsid w:val="FC7F689A"/>
    <w:rsid w:val="FCDF7048"/>
    <w:rsid w:val="FD1F9D4C"/>
    <w:rsid w:val="FF1F7D52"/>
    <w:rsid w:val="FF5E5A36"/>
    <w:rsid w:val="FFCE1833"/>
    <w:rsid w:val="FFF7D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1495</Words>
  <Characters>1634</Characters>
  <Lines>0</Lines>
  <Paragraphs>0</Paragraphs>
  <TotalTime>108</TotalTime>
  <ScaleCrop>false</ScaleCrop>
  <LinksUpToDate>false</LinksUpToDate>
  <CharactersWithSpaces>1660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2023-03-26T10:02:00Z</dcterms:created>
  <dc:creator>Administrator</dc:creator>
  <cp:lastModifiedBy>味道</cp:lastModifiedBy>
  <dcterms:modified xsi:type="dcterms:W3CDTF">2026-01-24T02:35:53Z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91510BADA7004713A567F96A85FD596B_13</vt:lpwstr>
  </property>
  <property fmtid="{D5CDD505-2E9C-101B-9397-08002B2CF9AE}" pid="4" name="KSOTemplateDocerSaveRecord">
    <vt:lpwstr>eyJoZGlkIjoiZTc0NDg2YzNlMTQ1NjE4YjA5ZjhjNTc1NmZlOGY1OGUiLCJ1c2VySWQiOiIzNjk3MjE2NDMifQ==</vt:lpwstr>
  </property>
</Properties>
</file>