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D0A11">
      <w:pPr>
        <w:jc w:val="center"/>
        <w:rPr>
          <w:rFonts w:hint="default" w:ascii="宋体" w:hAnsi="宋体" w:eastAsia="宋体" w:cs="宋体"/>
          <w:b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sz w:val="36"/>
          <w:szCs w:val="36"/>
        </w:rPr>
        <w:t>招标参数</w:t>
      </w:r>
      <w:r>
        <w:rPr>
          <w:rFonts w:hint="eastAsia" w:ascii="宋体" w:hAnsi="宋体" w:cs="宋体"/>
          <w:b/>
          <w:sz w:val="36"/>
          <w:szCs w:val="36"/>
          <w:lang w:eastAsia="zh-CN"/>
        </w:rPr>
        <w:t>包</w:t>
      </w:r>
      <w:r>
        <w:rPr>
          <w:rFonts w:hint="eastAsia" w:ascii="宋体" w:hAnsi="宋体" w:cs="宋体"/>
          <w:b/>
          <w:sz w:val="36"/>
          <w:szCs w:val="36"/>
          <w:lang w:val="en-US" w:eastAsia="zh-CN"/>
        </w:rPr>
        <w:t>1</w:t>
      </w:r>
    </w:p>
    <w:tbl>
      <w:tblPr>
        <w:tblStyle w:val="3"/>
        <w:tblW w:w="106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4"/>
        <w:gridCol w:w="6785"/>
        <w:gridCol w:w="1491"/>
      </w:tblGrid>
      <w:tr w14:paraId="2CF7D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344" w:type="dxa"/>
            <w:noWrap w:val="0"/>
            <w:vAlign w:val="center"/>
          </w:tcPr>
          <w:p w14:paraId="4D3EABEB">
            <w:pPr>
              <w:autoSpaceDE w:val="0"/>
              <w:spacing w:line="52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产品名称</w:t>
            </w:r>
          </w:p>
        </w:tc>
        <w:tc>
          <w:tcPr>
            <w:tcW w:w="6785" w:type="dxa"/>
            <w:noWrap w:val="0"/>
            <w:vAlign w:val="center"/>
          </w:tcPr>
          <w:p w14:paraId="2B6759B0">
            <w:pPr>
              <w:autoSpaceDE w:val="0"/>
              <w:spacing w:line="5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产品技术参数</w:t>
            </w:r>
          </w:p>
        </w:tc>
        <w:tc>
          <w:tcPr>
            <w:tcW w:w="1491" w:type="dxa"/>
            <w:noWrap w:val="0"/>
            <w:vAlign w:val="center"/>
          </w:tcPr>
          <w:p w14:paraId="14175459">
            <w:pPr>
              <w:autoSpaceDE w:val="0"/>
              <w:spacing w:line="520" w:lineRule="exact"/>
              <w:jc w:val="both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使用科室</w:t>
            </w:r>
          </w:p>
        </w:tc>
      </w:tr>
      <w:tr w14:paraId="3EA2F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1" w:hRule="atLeast"/>
          <w:jc w:val="center"/>
        </w:trPr>
        <w:tc>
          <w:tcPr>
            <w:tcW w:w="2344" w:type="dxa"/>
            <w:shd w:val="clear" w:color="auto" w:fill="FFFFFF"/>
            <w:noWrap w:val="0"/>
            <w:vAlign w:val="center"/>
          </w:tcPr>
          <w:p w14:paraId="543D1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一次性使用避光延长管</w:t>
            </w:r>
          </w:p>
        </w:tc>
        <w:tc>
          <w:tcPr>
            <w:tcW w:w="6785" w:type="dxa"/>
            <w:noWrap w:val="0"/>
            <w:vAlign w:val="center"/>
          </w:tcPr>
          <w:p w14:paraId="03822001">
            <w:pPr>
              <w:keepNext w:val="0"/>
              <w:keepLines w:val="0"/>
              <w:widowControl/>
              <w:suppressLineNumbers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用于配套微量注射泵、输液泵及常规输液器具，用于人体静脉光敏性药物输注、输液管路加长延伸使用</w:t>
            </w:r>
          </w:p>
          <w:p w14:paraId="7ED8182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产品整体结构完整，主要由</w:t>
            </w:r>
            <w:r>
              <w:rPr>
                <w:rStyle w:val="5"/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管路、内外圆锥接头、密封护帽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组成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7C34B54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3、环氧乙烷灭菌，一次性使用，无菌、无热原；长度≥1500mm</w:t>
            </w:r>
          </w:p>
          <w:p w14:paraId="2D6C169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可满足临床常规输液、床旁加长管路、微量泵远距离输注等多种场景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10DF555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4、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管路具备专业避光功能，有效避光波长范围为</w:t>
            </w:r>
            <w:r>
              <w:rPr>
                <w:rStyle w:val="5"/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290nm-450nm</w:t>
            </w:r>
            <w:r>
              <w:rPr>
                <w:rStyle w:val="5"/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可精准阻隔紫外线及短波可见光，有效防止光敏性药物氧化、分解、失效。</w:t>
            </w:r>
          </w:p>
        </w:tc>
        <w:tc>
          <w:tcPr>
            <w:tcW w:w="1491" w:type="dxa"/>
            <w:noWrap w:val="0"/>
            <w:vAlign w:val="center"/>
          </w:tcPr>
          <w:p w14:paraId="64D205AB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急诊重症、神经外、重症</w:t>
            </w:r>
          </w:p>
        </w:tc>
      </w:tr>
      <w:tr w14:paraId="4F8B4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44" w:type="dxa"/>
            <w:shd w:val="clear" w:color="auto" w:fill="FFFFFF"/>
            <w:noWrap w:val="0"/>
            <w:vAlign w:val="center"/>
          </w:tcPr>
          <w:p w14:paraId="47FF03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微量泵延长管</w:t>
            </w:r>
          </w:p>
        </w:tc>
        <w:tc>
          <w:tcPr>
            <w:tcW w:w="6785" w:type="dxa"/>
            <w:shd w:val="clear" w:color="auto" w:fill="auto"/>
            <w:noWrap w:val="0"/>
            <w:vAlign w:val="center"/>
          </w:tcPr>
          <w:p w14:paraId="51C278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both"/>
              <w:textAlignment w:val="bottom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用途：与微量注射泵配套使用，用于人体微量药液输注，加长输液管路；一次性使用，环氧乙烷灭菌。</w:t>
            </w:r>
          </w:p>
          <w:p w14:paraId="2A88339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产品由</w:t>
            </w:r>
            <w:r>
              <w:rPr>
                <w:rStyle w:val="5"/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内圆锥鲁尔接头、外圆锥鲁尔</w:t>
            </w:r>
            <w:r>
              <w:rPr>
                <w:rStyle w:val="5"/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noBreakHyphen/>
            </w:r>
            <w:r>
              <w:rPr>
                <w:rStyle w:val="5"/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锁接头、管路、止流夹、护帽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组成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5879625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规格长度1000mm、1200mm、1500mm；提供普通型、压力型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470B8D2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管路主体：医用 PVC，符合 GB15593 标准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无细胞毒性、无皮肤刺激、无致敏、溶血合格、无急性全身毒性。</w:t>
            </w:r>
          </w:p>
        </w:tc>
        <w:tc>
          <w:tcPr>
            <w:tcW w:w="1491" w:type="dxa"/>
            <w:shd w:val="clear" w:color="auto" w:fill="auto"/>
            <w:noWrap w:val="0"/>
            <w:vAlign w:val="center"/>
          </w:tcPr>
          <w:p w14:paraId="6B2B3C10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神经外、胸外、介入中心、神经内一</w:t>
            </w:r>
          </w:p>
        </w:tc>
      </w:tr>
      <w:tr w14:paraId="74780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2" w:hRule="atLeast"/>
          <w:jc w:val="center"/>
        </w:trPr>
        <w:tc>
          <w:tcPr>
            <w:tcW w:w="2344" w:type="dxa"/>
            <w:shd w:val="clear" w:color="auto" w:fill="FFFFFF"/>
            <w:noWrap w:val="0"/>
            <w:vAlign w:val="center"/>
          </w:tcPr>
          <w:p w14:paraId="3787E2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一次性使用硅橡胶引流球、管</w:t>
            </w:r>
          </w:p>
        </w:tc>
        <w:tc>
          <w:tcPr>
            <w:tcW w:w="6785" w:type="dxa"/>
            <w:shd w:val="clear" w:color="auto" w:fill="auto"/>
            <w:noWrap w:val="0"/>
            <w:vAlign w:val="center"/>
          </w:tcPr>
          <w:p w14:paraId="7773DEF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用途：供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手术室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收集和储存术后创面、体腔引流液使用，一次性使用，环氧乙烷灭菌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5769F3F9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产品由</w:t>
            </w:r>
            <w:r>
              <w:rPr>
                <w:rStyle w:val="5"/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硅胶引流球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Style w:val="5"/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硅胶引流管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组成；引流管结构包含</w:t>
            </w:r>
            <w:r>
              <w:rPr>
                <w:rStyle w:val="5"/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阀门式、锥形式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两种接头型式，可单独引流管、可引流球 + 引流管配套供货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2A71D97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引流球规格100ml、200ml，带容量刻度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引流管规格F8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noBreakHyphen/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F40 多 Fr 规格，长度≥800mm，远端带侧孔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267EC6F3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材质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医用硅胶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阀门式单向防逆流；球体负压不漏气，连接牢固不脱开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491" w:type="dxa"/>
            <w:shd w:val="clear" w:color="auto" w:fill="auto"/>
            <w:noWrap w:val="0"/>
            <w:vAlign w:val="center"/>
          </w:tcPr>
          <w:p w14:paraId="76C8C275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手术室</w:t>
            </w:r>
          </w:p>
        </w:tc>
      </w:tr>
      <w:tr w14:paraId="4E4C3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2" w:hRule="atLeast"/>
          <w:jc w:val="center"/>
        </w:trPr>
        <w:tc>
          <w:tcPr>
            <w:tcW w:w="2344" w:type="dxa"/>
            <w:shd w:val="clear" w:color="auto" w:fill="FFFFFF"/>
            <w:noWrap w:val="0"/>
            <w:vAlign w:val="center"/>
          </w:tcPr>
          <w:p w14:paraId="2FB7E3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一次性使用无菌梅花头导尿引流管</w:t>
            </w:r>
          </w:p>
        </w:tc>
        <w:tc>
          <w:tcPr>
            <w:tcW w:w="6785" w:type="dxa"/>
            <w:shd w:val="clear" w:color="auto" w:fill="auto"/>
            <w:noWrap w:val="0"/>
            <w:vAlign w:val="center"/>
          </w:tcPr>
          <w:p w14:paraId="022A7641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both"/>
              <w:textAlignment w:val="bottom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用途：用于引流尿液、积血、碎石残渣，也可用于脓腔、体腔积液引流，一次性使用，环氧乙烷灭菌。</w:t>
            </w:r>
          </w:p>
          <w:p w14:paraId="336558E1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产品由</w:t>
            </w:r>
            <w:r>
              <w:rPr>
                <w:rStyle w:val="5"/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梅花头（菌状 / 蘑菇头）头端、管身、排液接头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三部分组成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全规格；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梅花头多瓣分流开孔，增大引流面积，降低血凝块、组织碎屑堵管风险；接头可适配标准引流袋 / 引流球接口。</w:t>
            </w:r>
          </w:p>
          <w:p w14:paraId="258ED414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材质：医用乳胶 / 医用硅橡胶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均可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；生物相容性符合相关标准，无细胞毒性、无皮肤刺激、无致敏、溶血合格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15ADBACE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管体性能：管壁柔韧，抗弯折、不易瘪管堵管；内外表面光滑，无气泡、裂纹、杂质；梅花头与管身一体成型或牢固粘接，无开裂、无脱落。</w:t>
            </w:r>
          </w:p>
        </w:tc>
        <w:tc>
          <w:tcPr>
            <w:tcW w:w="1491" w:type="dxa"/>
            <w:shd w:val="clear" w:color="auto" w:fill="auto"/>
            <w:noWrap w:val="0"/>
            <w:vAlign w:val="center"/>
          </w:tcPr>
          <w:p w14:paraId="133D8AFD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手术室</w:t>
            </w:r>
          </w:p>
        </w:tc>
      </w:tr>
      <w:tr w14:paraId="476F9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2" w:hRule="atLeast"/>
          <w:jc w:val="center"/>
        </w:trPr>
        <w:tc>
          <w:tcPr>
            <w:tcW w:w="2344" w:type="dxa"/>
            <w:shd w:val="clear" w:color="auto" w:fill="FFFFFF"/>
            <w:noWrap w:val="0"/>
            <w:vAlign w:val="center"/>
          </w:tcPr>
          <w:p w14:paraId="308A8A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压舌板</w:t>
            </w:r>
          </w:p>
        </w:tc>
        <w:tc>
          <w:tcPr>
            <w:tcW w:w="6785" w:type="dxa"/>
            <w:shd w:val="clear" w:color="auto" w:fill="auto"/>
            <w:noWrap w:val="0"/>
            <w:vAlign w:val="center"/>
          </w:tcPr>
          <w:p w14:paraId="3E174A03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both"/>
              <w:textAlignment w:val="bottom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用途：临床口腔、咽喉检查时压低舌部，一次性使用，环氧乙烷灭菌。</w:t>
            </w:r>
          </w:p>
          <w:p w14:paraId="5413100B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产品为长条薄板，</w:t>
            </w:r>
            <w:r>
              <w:rPr>
                <w:rStyle w:val="5"/>
                <w:rFonts w:ascii="宋体" w:hAnsi="宋体" w:eastAsia="宋体" w:cs="宋体"/>
                <w:sz w:val="24"/>
                <w:szCs w:val="24"/>
              </w:rPr>
              <w:t>两端圆弧倒角</w:t>
            </w:r>
            <w:r>
              <w:rPr>
                <w:rFonts w:ascii="宋体" w:hAnsi="宋体" w:eastAsia="宋体" w:cs="宋体"/>
                <w:sz w:val="24"/>
                <w:szCs w:val="24"/>
              </w:rPr>
              <w:t>，无锐边；材质可选木质（桦木）/ 竹质；单片独立无菌包装。</w:t>
            </w:r>
          </w:p>
          <w:p w14:paraId="1C8F5061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规格：</w:t>
            </w:r>
            <w:r>
              <w:rPr>
                <w:rStyle w:val="5"/>
                <w:rFonts w:ascii="宋体" w:hAnsi="宋体" w:eastAsia="宋体" w:cs="宋体"/>
                <w:sz w:val="24"/>
                <w:szCs w:val="24"/>
              </w:rPr>
              <w:t>150mm×17mm×1.5mm（成人常用）</w:t>
            </w:r>
            <w:r>
              <w:rPr>
                <w:rFonts w:ascii="宋体" w:hAnsi="宋体" w:eastAsia="宋体" w:cs="宋体"/>
                <w:sz w:val="24"/>
                <w:szCs w:val="24"/>
              </w:rPr>
              <w:t>；可兼容 140mm×16mm 儿童规格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  <w:p w14:paraId="36ED1B86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材料：优质桦木 / 竹材；无腐朽、霉变，无异味；单节疤节点≤2 处，无贯穿裂纹。 两面打磨光滑，</w:t>
            </w:r>
            <w:r>
              <w:rPr>
                <w:rStyle w:val="5"/>
                <w:rFonts w:ascii="宋体" w:hAnsi="宋体" w:eastAsia="宋体" w:cs="宋体"/>
                <w:sz w:val="24"/>
                <w:szCs w:val="24"/>
              </w:rPr>
              <w:t>无毛刺、飞边、锐棱、污渍、裂纹</w:t>
            </w:r>
            <w:r>
              <w:rPr>
                <w:rFonts w:ascii="宋体" w:hAnsi="宋体" w:eastAsia="宋体" w:cs="宋体"/>
                <w:sz w:val="24"/>
                <w:szCs w:val="24"/>
              </w:rPr>
              <w:t>，两端圆角圆滑，避免划伤口腔黏膜。</w:t>
            </w:r>
          </w:p>
        </w:tc>
        <w:tc>
          <w:tcPr>
            <w:tcW w:w="1491" w:type="dxa"/>
            <w:shd w:val="clear" w:color="auto" w:fill="auto"/>
            <w:noWrap w:val="0"/>
            <w:vAlign w:val="center"/>
          </w:tcPr>
          <w:p w14:paraId="280851E6">
            <w:pPr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疼痛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科</w:t>
            </w:r>
            <w:r>
              <w:rPr>
                <w:rFonts w:hint="eastAsia" w:ascii="宋体" w:hAnsi="宋体"/>
                <w:sz w:val="24"/>
                <w:szCs w:val="24"/>
              </w:rPr>
              <w:t>、医务科、影像科</w:t>
            </w:r>
          </w:p>
        </w:tc>
      </w:tr>
    </w:tbl>
    <w:p w14:paraId="40E9E9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eastAsia="宋体"/>
          <w:lang w:eastAsia="zh-CN"/>
        </w:rPr>
      </w:pPr>
      <w:r>
        <w:rPr>
          <w:rFonts w:hint="eastAsia"/>
          <w:color w:val="FF0000"/>
          <w:sz w:val="28"/>
          <w:szCs w:val="28"/>
          <w:lang w:eastAsia="zh-CN"/>
        </w:rPr>
        <w:t>注：本表中产品技术参数需提供证明材料（说明书或技术白皮书），务必注明证明材料的页码并标注行号，提供不全或未提供的视为负偏。走威高配送。本项目打包采购，以上产品必须全部响应，响应不全者取消投标资格。</w:t>
      </w:r>
    </w:p>
    <w:p w14:paraId="18CB825C">
      <w:pPr>
        <w:jc w:val="center"/>
        <w:rPr>
          <w:rFonts w:hint="eastAsia" w:ascii="宋体" w:hAnsi="宋体" w:cs="宋体"/>
          <w:b/>
          <w:sz w:val="36"/>
          <w:szCs w:val="36"/>
          <w:lang w:eastAsia="zh-CN"/>
        </w:rPr>
      </w:pPr>
    </w:p>
    <w:p w14:paraId="44A09E81">
      <w:pPr>
        <w:jc w:val="center"/>
        <w:rPr>
          <w:rFonts w:hint="default" w:ascii="宋体" w:hAnsi="宋体" w:eastAsia="宋体" w:cs="宋体"/>
          <w:b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sz w:val="36"/>
          <w:szCs w:val="36"/>
          <w:lang w:eastAsia="zh-CN"/>
        </w:rPr>
        <w:t>低温等离子指示物、标签</w:t>
      </w:r>
      <w:r>
        <w:rPr>
          <w:rFonts w:hint="eastAsia" w:ascii="宋体" w:hAnsi="宋体" w:cs="宋体"/>
          <w:b/>
          <w:sz w:val="36"/>
          <w:szCs w:val="36"/>
        </w:rPr>
        <w:t>参数</w:t>
      </w:r>
      <w:r>
        <w:rPr>
          <w:rFonts w:hint="eastAsia" w:ascii="宋体" w:hAnsi="宋体" w:cs="宋体"/>
          <w:b/>
          <w:sz w:val="36"/>
          <w:szCs w:val="36"/>
          <w:lang w:eastAsia="zh-CN"/>
        </w:rPr>
        <w:t>包</w:t>
      </w:r>
      <w:r>
        <w:rPr>
          <w:rFonts w:hint="eastAsia" w:ascii="宋体" w:hAnsi="宋体" w:cs="宋体"/>
          <w:b/>
          <w:sz w:val="36"/>
          <w:szCs w:val="36"/>
          <w:lang w:val="en-US" w:eastAsia="zh-CN"/>
        </w:rPr>
        <w:t>2</w:t>
      </w:r>
    </w:p>
    <w:tbl>
      <w:tblPr>
        <w:tblStyle w:val="3"/>
        <w:tblW w:w="106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4"/>
        <w:gridCol w:w="6785"/>
        <w:gridCol w:w="1491"/>
      </w:tblGrid>
      <w:tr w14:paraId="3F2F0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344" w:type="dxa"/>
            <w:noWrap w:val="0"/>
            <w:vAlign w:val="center"/>
          </w:tcPr>
          <w:p w14:paraId="0D5D335C">
            <w:pPr>
              <w:autoSpaceDE w:val="0"/>
              <w:spacing w:line="52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产品名称</w:t>
            </w:r>
          </w:p>
        </w:tc>
        <w:tc>
          <w:tcPr>
            <w:tcW w:w="6785" w:type="dxa"/>
            <w:noWrap w:val="0"/>
            <w:vAlign w:val="center"/>
          </w:tcPr>
          <w:p w14:paraId="2988D545">
            <w:pPr>
              <w:autoSpaceDE w:val="0"/>
              <w:spacing w:line="5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产品技术参数</w:t>
            </w:r>
          </w:p>
        </w:tc>
        <w:tc>
          <w:tcPr>
            <w:tcW w:w="1491" w:type="dxa"/>
            <w:noWrap w:val="0"/>
            <w:vAlign w:val="center"/>
          </w:tcPr>
          <w:p w14:paraId="3E58BA7A">
            <w:pPr>
              <w:autoSpaceDE w:val="0"/>
              <w:spacing w:line="520" w:lineRule="exact"/>
              <w:jc w:val="both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使用科室</w:t>
            </w:r>
          </w:p>
        </w:tc>
      </w:tr>
      <w:tr w14:paraId="7E5DB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1" w:hRule="atLeast"/>
          <w:jc w:val="center"/>
        </w:trPr>
        <w:tc>
          <w:tcPr>
            <w:tcW w:w="2344" w:type="dxa"/>
            <w:shd w:val="clear" w:color="auto" w:fill="FFFFFF"/>
            <w:noWrap w:val="0"/>
            <w:vAlign w:val="center"/>
          </w:tcPr>
          <w:p w14:paraId="4C10B58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过氧化氢等离子灭菌化学指示物</w:t>
            </w:r>
          </w:p>
        </w:tc>
        <w:tc>
          <w:tcPr>
            <w:tcW w:w="6785" w:type="dxa"/>
            <w:shd w:val="clear" w:color="auto" w:fill="auto"/>
            <w:noWrap w:val="0"/>
            <w:vAlign w:val="center"/>
          </w:tcPr>
          <w:p w14:paraId="5A2C9EC1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left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用途：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用于过氧化氢低温等离子灭菌包外过程监测，可打印机打印、灭菌后可留存归档记录。</w:t>
            </w:r>
          </w:p>
          <w:p w14:paraId="3D71D7B9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left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适用灭菌方式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：过氧化氢低温等离子（VH₂O₂）灭菌循环，适配</w:t>
            </w:r>
            <w:r>
              <w:rPr>
                <w:rFonts w:hint="eastAsia" w:ascii="宋体" w:hAnsi="宋体" w:cs="宋体"/>
                <w:color w:val="E54C5E" w:themeColor="accent6"/>
                <w:sz w:val="24"/>
                <w:szCs w:val="24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LK/MJQ-100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低温等离子灭菌设备。</w:t>
            </w:r>
          </w:p>
          <w:p w14:paraId="7C381EB0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left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基材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：专用耐等离子薄膜基材，</w:t>
            </w:r>
            <w:r>
              <w:rPr>
                <w:rStyle w:val="5"/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禁止普通纸张基材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，不吸附过氧化氢气体，不干扰灭菌穿透，无纸屑脱落风险。</w:t>
            </w:r>
          </w:p>
          <w:p w14:paraId="00C368AC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left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指示油墨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：无铅、无有毒重金属，不迁移、不析出，不污染灭菌器械与包装，提供油墨安全检测证明。</w:t>
            </w:r>
          </w:p>
          <w:p w14:paraId="737D1AF4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left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包装规格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条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装，原厂标准规格；外包装避光保护，避免光照提前触发变色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491" w:type="dxa"/>
            <w:shd w:val="clear" w:color="auto" w:fill="auto"/>
            <w:noWrap w:val="0"/>
            <w:vAlign w:val="center"/>
          </w:tcPr>
          <w:p w14:paraId="117DB7EC">
            <w:pPr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手术室</w:t>
            </w:r>
          </w:p>
          <w:p w14:paraId="7EDCF580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020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44" w:type="dxa"/>
            <w:shd w:val="clear" w:color="auto" w:fill="FFFFFF"/>
            <w:noWrap w:val="0"/>
            <w:vAlign w:val="center"/>
          </w:tcPr>
          <w:p w14:paraId="048C8B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过氧化氢等离子灭菌化学指示标签</w:t>
            </w:r>
          </w:p>
          <w:p w14:paraId="376FFA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85" w:type="dxa"/>
            <w:shd w:val="clear" w:color="auto" w:fill="auto"/>
            <w:noWrap w:val="0"/>
            <w:vAlign w:val="center"/>
          </w:tcPr>
          <w:p w14:paraId="1564CC60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专用于过氧化氢（H₂O₂）低温等离子灭菌循环，适配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白象</w:t>
            </w:r>
            <w:r>
              <w:rPr>
                <w:rFonts w:hint="eastAsia" w:ascii="宋体" w:hAnsi="宋体" w:cs="宋体"/>
                <w:color w:val="E54C5E" w:themeColor="accent6"/>
                <w:sz w:val="24"/>
                <w:szCs w:val="24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PS120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低温等离子灭菌设备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6CB2C4A3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双面背胶易撕副联设计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；一部分粘贴灭菌包，副联撕下用于纸质归档留存灭菌记录，带模切分离线，无需剪刀裁切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64DC1D2A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基材材质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非吸收性薄膜基材，</w:t>
            </w:r>
            <w:r>
              <w:rPr>
                <w:rStyle w:val="5"/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禁止普通纸质基材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；不吸附过氧化氢气体，不干扰灭菌穿透，无纸屑脱落风险，耐等离子环境不脆化起泡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1ED1DFFB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指示油墨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无铅、无有毒重金属；油墨不迁移、不析出，不污染器械与灭菌包装；可提供油墨安全检测佐证材料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7E71654D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包装形式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卷装，原厂标准卷；外包装避光保护，防止光照提前触发指示油墨变色</w:t>
            </w:r>
          </w:p>
        </w:tc>
        <w:tc>
          <w:tcPr>
            <w:tcW w:w="1491" w:type="dxa"/>
            <w:shd w:val="clear" w:color="auto" w:fill="auto"/>
            <w:noWrap w:val="0"/>
            <w:vAlign w:val="center"/>
          </w:tcPr>
          <w:p w14:paraId="338F7A6E">
            <w:pPr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手术室</w:t>
            </w:r>
          </w:p>
          <w:p w14:paraId="44BBBA19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32615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eastAsia="宋体"/>
          <w:lang w:eastAsia="zh-CN"/>
        </w:rPr>
      </w:pPr>
      <w:r>
        <w:rPr>
          <w:rFonts w:hint="eastAsia"/>
          <w:color w:val="FF0000"/>
          <w:sz w:val="28"/>
          <w:szCs w:val="28"/>
          <w:lang w:eastAsia="zh-CN"/>
        </w:rPr>
        <w:t>注：本表中产品技术参数需提供证明材料（说明书或技术白皮书），务必注明证明材料的页码并标注行号，提供不全或未提供的视为负偏。走威高配送。本项目打包采购，以上产品必须全部响应，响应不全者取消投标资格。</w:t>
      </w:r>
    </w:p>
    <w:p w14:paraId="4D10F89A"/>
    <w:p w14:paraId="2370EEA2">
      <w:pPr>
        <w:jc w:val="center"/>
        <w:rPr>
          <w:rFonts w:hint="default" w:ascii="宋体" w:hAnsi="宋体" w:eastAsia="宋体" w:cs="宋体"/>
          <w:b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sz w:val="36"/>
          <w:szCs w:val="36"/>
        </w:rPr>
        <w:t>招标参数</w:t>
      </w:r>
      <w:r>
        <w:rPr>
          <w:rFonts w:hint="eastAsia" w:ascii="宋体" w:hAnsi="宋体" w:cs="宋体"/>
          <w:b/>
          <w:sz w:val="36"/>
          <w:szCs w:val="36"/>
          <w:lang w:eastAsia="zh-CN"/>
        </w:rPr>
        <w:t>包</w:t>
      </w:r>
      <w:r>
        <w:rPr>
          <w:rFonts w:hint="eastAsia" w:ascii="宋体" w:hAnsi="宋体" w:cs="宋体"/>
          <w:b/>
          <w:sz w:val="36"/>
          <w:szCs w:val="36"/>
          <w:lang w:val="en-US" w:eastAsia="zh-CN"/>
        </w:rPr>
        <w:t>3</w:t>
      </w:r>
    </w:p>
    <w:tbl>
      <w:tblPr>
        <w:tblStyle w:val="3"/>
        <w:tblW w:w="106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4"/>
        <w:gridCol w:w="6785"/>
        <w:gridCol w:w="1491"/>
      </w:tblGrid>
      <w:tr w14:paraId="59050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344" w:type="dxa"/>
            <w:noWrap w:val="0"/>
            <w:vAlign w:val="center"/>
          </w:tcPr>
          <w:p w14:paraId="217F4E6E">
            <w:pPr>
              <w:autoSpaceDE w:val="0"/>
              <w:spacing w:line="52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产品名称</w:t>
            </w:r>
          </w:p>
        </w:tc>
        <w:tc>
          <w:tcPr>
            <w:tcW w:w="6785" w:type="dxa"/>
            <w:noWrap w:val="0"/>
            <w:vAlign w:val="center"/>
          </w:tcPr>
          <w:p w14:paraId="25654CE8">
            <w:pPr>
              <w:autoSpaceDE w:val="0"/>
              <w:spacing w:line="5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产品技术参数</w:t>
            </w:r>
          </w:p>
        </w:tc>
        <w:tc>
          <w:tcPr>
            <w:tcW w:w="1491" w:type="dxa"/>
            <w:noWrap w:val="0"/>
            <w:vAlign w:val="center"/>
          </w:tcPr>
          <w:p w14:paraId="5ACE6205">
            <w:pPr>
              <w:autoSpaceDE w:val="0"/>
              <w:spacing w:line="520" w:lineRule="exact"/>
              <w:jc w:val="both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使用科室</w:t>
            </w:r>
          </w:p>
        </w:tc>
      </w:tr>
      <w:tr w14:paraId="7640F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2" w:hRule="atLeast"/>
          <w:jc w:val="center"/>
        </w:trPr>
        <w:tc>
          <w:tcPr>
            <w:tcW w:w="2344" w:type="dxa"/>
            <w:shd w:val="clear" w:color="auto" w:fill="FFFFFF"/>
            <w:noWrap w:val="0"/>
            <w:vAlign w:val="center"/>
          </w:tcPr>
          <w:p w14:paraId="5D312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医用转移垫</w:t>
            </w:r>
          </w:p>
        </w:tc>
        <w:tc>
          <w:tcPr>
            <w:tcW w:w="6785" w:type="dxa"/>
            <w:shd w:val="clear" w:color="auto" w:fill="auto"/>
            <w:noWrap w:val="0"/>
            <w:vAlign w:val="center"/>
          </w:tcPr>
          <w:p w14:paraId="7021BAF1"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jc w:val="both"/>
              <w:textAlignment w:val="bottom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用于危重病人位置移动、过床转运，减少转运二次损伤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  <w:p w14:paraId="3006587A"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jc w:val="both"/>
              <w:textAlignment w:val="bottom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标准型：滑移垫 + 加固拉手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;</w:t>
            </w:r>
            <w:r>
              <w:rPr>
                <w:rFonts w:ascii="宋体" w:hAnsi="宋体" w:eastAsia="宋体" w:cs="宋体"/>
                <w:sz w:val="24"/>
                <w:szCs w:val="24"/>
              </w:rPr>
              <w:t>规格：8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sz w:val="24"/>
                <w:szCs w:val="24"/>
              </w:rPr>
              <w:t>cm×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190</w:t>
            </w:r>
            <w:r>
              <w:rPr>
                <w:rFonts w:ascii="宋体" w:hAnsi="宋体" w:eastAsia="宋体" w:cs="宋体"/>
                <w:sz w:val="24"/>
                <w:szCs w:val="24"/>
              </w:rPr>
              <w:t>cm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适配转运床、手术床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ascii="宋体" w:hAnsi="宋体" w:eastAsia="宋体" w:cs="宋体"/>
                <w:sz w:val="24"/>
                <w:szCs w:val="24"/>
              </w:rPr>
              <w:t>。</w:t>
            </w:r>
          </w:p>
          <w:p w14:paraId="25C5BAE5"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jc w:val="both"/>
              <w:textAlignment w:val="bottom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结构：垫体四周配置高强度织带拉手，拉手伸出垫体≥10cm；拉手嵌入式加固缝合，无散线、脱线；可实现多人提拉搬运，也可滑移过床。</w:t>
            </w:r>
          </w:p>
          <w:p w14:paraId="642C72C0"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垫体基材为 SMS 无纺布，无纺布克重≥30g/㎡；纵向断裂强力≥17N，横向断裂强力≥13N，不易撕裂。</w:t>
            </w:r>
          </w:p>
        </w:tc>
        <w:tc>
          <w:tcPr>
            <w:tcW w:w="1491" w:type="dxa"/>
            <w:shd w:val="clear" w:color="auto" w:fill="auto"/>
            <w:noWrap w:val="0"/>
            <w:vAlign w:val="center"/>
          </w:tcPr>
          <w:p w14:paraId="13CF492C">
            <w:pPr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急诊科</w:t>
            </w:r>
          </w:p>
        </w:tc>
      </w:tr>
      <w:tr w14:paraId="7CCA8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2" w:hRule="atLeast"/>
          <w:jc w:val="center"/>
        </w:trPr>
        <w:tc>
          <w:tcPr>
            <w:tcW w:w="2344" w:type="dxa"/>
            <w:shd w:val="clear" w:color="auto" w:fill="FFFFFF"/>
            <w:noWrap w:val="0"/>
            <w:vAlign w:val="center"/>
          </w:tcPr>
          <w:p w14:paraId="340513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内套管切开插管及附件</w:t>
            </w:r>
          </w:p>
        </w:tc>
        <w:tc>
          <w:tcPr>
            <w:tcW w:w="6785" w:type="dxa"/>
            <w:shd w:val="clear" w:color="auto" w:fill="auto"/>
            <w:noWrap w:val="0"/>
            <w:vAlign w:val="center"/>
          </w:tcPr>
          <w:p w14:paraId="5166B79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bottom"/>
              <w:rPr>
                <w:rStyle w:val="5"/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用途：气管切开术后建立人工通气气道，</w:t>
            </w:r>
            <w:r>
              <w:rPr>
                <w:rStyle w:val="5"/>
                <w:rFonts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普通型（可拆内套管），一次性使用，环氧乙烷灭菌</w:t>
            </w:r>
            <w:r>
              <w:rPr>
                <w:rStyle w:val="5"/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5999132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bottom"/>
              <w:rPr>
                <w:rStyle w:val="5"/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组成：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导丝、扩张器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Style w:val="5"/>
                <w:rFonts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外套管 + 可拆式内套管 + 插管芯 + 固定翼（颈板）+15mm 标准呼吸机接头 + 固定系带</w:t>
            </w:r>
            <w:r>
              <w:rPr>
                <w:rStyle w:val="5"/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7AA0CE2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bottom"/>
              <w:rPr>
                <w:rStyle w:val="5"/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</w:t>
            </w: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规格：</w:t>
            </w:r>
            <w:r>
              <w:rPr>
                <w:rStyle w:val="5"/>
                <w:rFonts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普通型 7.0、8.0（公称内径 7.0mm、8.0mm）</w:t>
            </w: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，注册证规格必须覆盖上述两个内径规格。</w:t>
            </w:r>
          </w:p>
          <w:p w14:paraId="5EAD81F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textAlignment w:val="bottom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4、</w:t>
            </w: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外套管、内套管：医用 PVC，符合 GB 15593；生物相容性合格，无细胞毒性、无皮肤刺激、无致敏、溶血合格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插管芯、接头：聚丙烯 PP；固定翼、系带 PE 材质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491" w:type="dxa"/>
            <w:shd w:val="clear" w:color="auto" w:fill="auto"/>
            <w:noWrap w:val="0"/>
            <w:vAlign w:val="center"/>
          </w:tcPr>
          <w:p w14:paraId="4FB346A8">
            <w:pPr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重症监护室、神经外、急诊重症</w:t>
            </w:r>
          </w:p>
        </w:tc>
      </w:tr>
    </w:tbl>
    <w:p w14:paraId="2ABFB4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eastAsia="宋体"/>
          <w:lang w:eastAsia="zh-CN"/>
        </w:rPr>
      </w:pPr>
      <w:r>
        <w:rPr>
          <w:rFonts w:hint="eastAsia"/>
          <w:color w:val="FF0000"/>
          <w:sz w:val="28"/>
          <w:szCs w:val="28"/>
          <w:lang w:eastAsia="zh-CN"/>
        </w:rPr>
        <w:t>注：本表中产品技术参数需提供证明材料（说明书或技术白皮书），务必注明证明材料的页码并标注行号，提供不全或未提供的视为负偏。走威高配送。本项目非打包采购，可部分响应。</w:t>
      </w:r>
      <w:bookmarkStart w:id="0" w:name="_GoBack"/>
      <w:bookmarkEnd w:id="0"/>
    </w:p>
    <w:p w14:paraId="68941669"/>
    <w:p w14:paraId="7D9BF4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667D61"/>
    <w:multiLevelType w:val="singleLevel"/>
    <w:tmpl w:val="80667D61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D7171643"/>
    <w:multiLevelType w:val="singleLevel"/>
    <w:tmpl w:val="D7171643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F3AF1457"/>
    <w:multiLevelType w:val="singleLevel"/>
    <w:tmpl w:val="F3AF1457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F8352357"/>
    <w:multiLevelType w:val="singleLevel"/>
    <w:tmpl w:val="F8352357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039ED03C"/>
    <w:multiLevelType w:val="singleLevel"/>
    <w:tmpl w:val="039ED03C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2562F2FF"/>
    <w:multiLevelType w:val="singleLevel"/>
    <w:tmpl w:val="2562F2FF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4DE62943"/>
    <w:multiLevelType w:val="singleLevel"/>
    <w:tmpl w:val="4DE6294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EC1C63"/>
    <w:rsid w:val="01394986"/>
    <w:rsid w:val="13EC1C63"/>
    <w:rsid w:val="17124B68"/>
    <w:rsid w:val="27000E1B"/>
    <w:rsid w:val="411D7EFA"/>
    <w:rsid w:val="483A31A5"/>
    <w:rsid w:val="570B0540"/>
    <w:rsid w:val="64356A60"/>
    <w:rsid w:val="6BCF2D05"/>
    <w:rsid w:val="6E0D4FB6"/>
    <w:rsid w:val="7E04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1122</Words>
  <Characters>1196</Characters>
  <Lines>0</Lines>
  <Paragraphs>0</Paragraphs>
  <TotalTime>1</TotalTime>
  <ScaleCrop>false</ScaleCrop>
  <LinksUpToDate>false</LinksUpToDate>
  <CharactersWithSpaces>1217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2026-07-30T03:10:00Z</dcterms:created>
  <dc:creator>酥糊</dc:creator>
  <cp:lastModifiedBy>味道</cp:lastModifiedBy>
  <dcterms:modified xsi:type="dcterms:W3CDTF">2026-08-27T06:48:27Z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B1D688F65F9442409FF326AEB0842FF2_13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