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1A3B8">
      <w:pPr>
        <w:pStyle w:val="3"/>
      </w:pPr>
      <w:r>
        <w:rPr>
          <w:rFonts w:hint="eastAsia"/>
          <w:u w:val="single"/>
          <w:lang w:val="en-US" w:eastAsia="zh-CN"/>
        </w:rPr>
        <w:t xml:space="preserve"> 床笠 </w:t>
      </w:r>
      <w:r>
        <w:rPr>
          <w:rFonts w:hint="eastAsia"/>
        </w:rPr>
        <w:t>参数技术要求</w:t>
      </w:r>
    </w:p>
    <w:tbl>
      <w:tblPr>
        <w:tblStyle w:val="7"/>
        <w:tblpPr w:leftFromText="180" w:rightFromText="180" w:vertAnchor="text" w:tblpY="324"/>
        <w:tblOverlap w:val="never"/>
        <w:tblW w:w="9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5748"/>
        <w:gridCol w:w="1725"/>
        <w:gridCol w:w="1177"/>
      </w:tblGrid>
      <w:tr w14:paraId="6489B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vAlign w:val="center"/>
          </w:tcPr>
          <w:p w14:paraId="0DA2B392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序号</w:t>
            </w:r>
          </w:p>
        </w:tc>
        <w:tc>
          <w:tcPr>
            <w:tcW w:w="5748" w:type="dxa"/>
            <w:vAlign w:val="center"/>
          </w:tcPr>
          <w:p w14:paraId="35CFA6D4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参数技术要求</w:t>
            </w:r>
          </w:p>
        </w:tc>
        <w:tc>
          <w:tcPr>
            <w:tcW w:w="1725" w:type="dxa"/>
            <w:vAlign w:val="center"/>
          </w:tcPr>
          <w:p w14:paraId="7A3FF518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正负偏离指标</w:t>
            </w:r>
          </w:p>
        </w:tc>
        <w:tc>
          <w:tcPr>
            <w:tcW w:w="1177" w:type="dxa"/>
            <w:vAlign w:val="center"/>
          </w:tcPr>
          <w:p w14:paraId="02AA9102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备注</w:t>
            </w:r>
          </w:p>
        </w:tc>
      </w:tr>
      <w:tr w14:paraId="5106A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30" w:type="dxa"/>
            <w:vAlign w:val="center"/>
          </w:tcPr>
          <w:p w14:paraId="11C36A30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5748" w:type="dxa"/>
            <w:vAlign w:val="center"/>
          </w:tcPr>
          <w:p w14:paraId="10CD6C16">
            <w:pPr>
              <w:pStyle w:val="12"/>
              <w:widowControl/>
              <w:ind w:firstLine="0" w:firstLineChars="0"/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布料白色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/粉色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，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</w:rPr>
              <w:t>%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涤纶/50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</w:rPr>
              <w:t xml:space="preserve">%棉 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30*30,133*76缎条</w:t>
            </w:r>
          </w:p>
        </w:tc>
        <w:tc>
          <w:tcPr>
            <w:tcW w:w="1725" w:type="dxa"/>
            <w:vAlign w:val="center"/>
          </w:tcPr>
          <w:p w14:paraId="33B847C2">
            <w:pPr>
              <w:pStyle w:val="10"/>
              <w:spacing w:before="78" w:line="275" w:lineRule="auto"/>
              <w:ind w:right="8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177" w:type="dxa"/>
          </w:tcPr>
          <w:p w14:paraId="3FA5A70E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9556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30" w:type="dxa"/>
            <w:vAlign w:val="center"/>
          </w:tcPr>
          <w:p w14:paraId="4A8E9912">
            <w:pPr>
              <w:spacing w:line="440" w:lineRule="exac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</w:t>
            </w:r>
          </w:p>
        </w:tc>
        <w:tc>
          <w:tcPr>
            <w:tcW w:w="5748" w:type="dxa"/>
            <w:vAlign w:val="center"/>
          </w:tcPr>
          <w:p w14:paraId="7E07A831">
            <w:pPr>
              <w:pStyle w:val="12"/>
              <w:widowControl/>
              <w:ind w:firstLine="0" w:firstLineChars="0"/>
              <w:jc w:val="left"/>
              <w:rPr>
                <w:rFonts w:hint="default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床笠帽口：两头松紧带包绕，中间不包绕；床笠裙边：≥30cm</w:t>
            </w:r>
          </w:p>
        </w:tc>
        <w:tc>
          <w:tcPr>
            <w:tcW w:w="1725" w:type="dxa"/>
            <w:vAlign w:val="center"/>
          </w:tcPr>
          <w:p w14:paraId="18E42731">
            <w:pPr>
              <w:pStyle w:val="10"/>
              <w:spacing w:before="78" w:line="275" w:lineRule="auto"/>
              <w:ind w:right="8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177" w:type="dxa"/>
          </w:tcPr>
          <w:p w14:paraId="2AC75A6F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C71D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730" w:type="dxa"/>
            <w:vAlign w:val="center"/>
          </w:tcPr>
          <w:p w14:paraId="08078634">
            <w:pPr>
              <w:spacing w:line="440" w:lineRule="exact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</w:t>
            </w:r>
          </w:p>
        </w:tc>
        <w:tc>
          <w:tcPr>
            <w:tcW w:w="5748" w:type="dxa"/>
            <w:vAlign w:val="center"/>
          </w:tcPr>
          <w:p w14:paraId="23B41C2F">
            <w:pPr>
              <w:pStyle w:val="10"/>
              <w:spacing w:before="7" w:line="266" w:lineRule="auto"/>
              <w:ind w:right="102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eastAsia="zh-CN"/>
              </w:rPr>
              <w:t>克重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165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eastAsia="zh-CN"/>
              </w:rPr>
              <w:t>±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eastAsia="zh-CN"/>
              </w:rPr>
              <w:t>g/㎡</w:t>
            </w:r>
          </w:p>
        </w:tc>
        <w:tc>
          <w:tcPr>
            <w:tcW w:w="1725" w:type="dxa"/>
            <w:vAlign w:val="center"/>
          </w:tcPr>
          <w:p w14:paraId="4FA9FFC1">
            <w:pPr>
              <w:pStyle w:val="10"/>
              <w:spacing w:before="7" w:line="266" w:lineRule="auto"/>
              <w:ind w:right="102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177" w:type="dxa"/>
          </w:tcPr>
          <w:p w14:paraId="47C5704C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B626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vAlign w:val="center"/>
          </w:tcPr>
          <w:p w14:paraId="3750A1BD">
            <w:pPr>
              <w:spacing w:line="440" w:lineRule="exact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</w:p>
        </w:tc>
        <w:tc>
          <w:tcPr>
            <w:tcW w:w="5748" w:type="dxa"/>
            <w:vAlign w:val="center"/>
          </w:tcPr>
          <w:p w14:paraId="2B599C50"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PH值4.0-8.5</w:t>
            </w:r>
          </w:p>
        </w:tc>
        <w:tc>
          <w:tcPr>
            <w:tcW w:w="1725" w:type="dxa"/>
            <w:vAlign w:val="center"/>
          </w:tcPr>
          <w:p w14:paraId="27CE7BEF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7" w:type="dxa"/>
          </w:tcPr>
          <w:p w14:paraId="3775559E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2A13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0" w:type="dxa"/>
            <w:vAlign w:val="center"/>
          </w:tcPr>
          <w:p w14:paraId="79261F40">
            <w:pPr>
              <w:spacing w:line="440" w:lineRule="exact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</w:t>
            </w:r>
          </w:p>
        </w:tc>
        <w:tc>
          <w:tcPr>
            <w:tcW w:w="5748" w:type="dxa"/>
            <w:vAlign w:val="center"/>
          </w:tcPr>
          <w:p w14:paraId="4689E0F9"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甲醛含量≤75mg/kg，无异味。</w:t>
            </w:r>
          </w:p>
        </w:tc>
        <w:tc>
          <w:tcPr>
            <w:tcW w:w="1725" w:type="dxa"/>
            <w:vAlign w:val="center"/>
          </w:tcPr>
          <w:p w14:paraId="32887AB6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7" w:type="dxa"/>
          </w:tcPr>
          <w:p w14:paraId="38D8722F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71A3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730" w:type="dxa"/>
            <w:vAlign w:val="center"/>
          </w:tcPr>
          <w:p w14:paraId="5D8624E8">
            <w:pPr>
              <w:spacing w:line="440" w:lineRule="exact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6</w:t>
            </w:r>
          </w:p>
        </w:tc>
        <w:tc>
          <w:tcPr>
            <w:tcW w:w="5748" w:type="dxa"/>
            <w:vAlign w:val="center"/>
          </w:tcPr>
          <w:p w14:paraId="7E42CDFD">
            <w:pPr>
              <w:pStyle w:val="12"/>
              <w:widowControl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</w:rPr>
              <w:t>耐汗渍色牢度：变色≥3级，沾色≥3级。</w:t>
            </w:r>
          </w:p>
        </w:tc>
        <w:tc>
          <w:tcPr>
            <w:tcW w:w="1725" w:type="dxa"/>
            <w:vAlign w:val="center"/>
          </w:tcPr>
          <w:p w14:paraId="63E570D3">
            <w:pPr>
              <w:pStyle w:val="10"/>
              <w:spacing w:before="69" w:line="220" w:lineRule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177" w:type="dxa"/>
          </w:tcPr>
          <w:p w14:paraId="742629B0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7C35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vAlign w:val="center"/>
          </w:tcPr>
          <w:p w14:paraId="4417FC34">
            <w:pPr>
              <w:spacing w:line="440" w:lineRule="exact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7</w:t>
            </w:r>
          </w:p>
        </w:tc>
        <w:tc>
          <w:tcPr>
            <w:tcW w:w="5748" w:type="dxa"/>
            <w:vAlign w:val="center"/>
          </w:tcPr>
          <w:p w14:paraId="6733391F">
            <w:pPr>
              <w:pStyle w:val="10"/>
              <w:spacing w:before="70" w:line="248" w:lineRule="auto"/>
              <w:ind w:right="102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eastAsia="zh-CN"/>
              </w:rPr>
              <w:t>耐水色牢度：变色≥3级，沾色≥3级。</w:t>
            </w:r>
          </w:p>
        </w:tc>
        <w:tc>
          <w:tcPr>
            <w:tcW w:w="1725" w:type="dxa"/>
            <w:vAlign w:val="center"/>
          </w:tcPr>
          <w:p w14:paraId="3323391F">
            <w:pPr>
              <w:pStyle w:val="10"/>
              <w:spacing w:before="70" w:line="248" w:lineRule="auto"/>
              <w:ind w:right="102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177" w:type="dxa"/>
          </w:tcPr>
          <w:p w14:paraId="69533273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501B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vAlign w:val="center"/>
          </w:tcPr>
          <w:p w14:paraId="5CF88DB1">
            <w:pPr>
              <w:spacing w:line="440" w:lineRule="exact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8</w:t>
            </w:r>
          </w:p>
        </w:tc>
        <w:tc>
          <w:tcPr>
            <w:tcW w:w="5748" w:type="dxa"/>
            <w:vAlign w:val="center"/>
          </w:tcPr>
          <w:p w14:paraId="4660ABA6"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耐摩擦色牢度：干摩≥3级，湿摩≥2级。</w:t>
            </w:r>
          </w:p>
        </w:tc>
        <w:tc>
          <w:tcPr>
            <w:tcW w:w="1725" w:type="dxa"/>
            <w:vAlign w:val="center"/>
          </w:tcPr>
          <w:p w14:paraId="05A5CBCF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7" w:type="dxa"/>
          </w:tcPr>
          <w:p w14:paraId="44888922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B6D9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730" w:type="dxa"/>
            <w:vAlign w:val="center"/>
          </w:tcPr>
          <w:p w14:paraId="6E7E9D3A">
            <w:pPr>
              <w:spacing w:line="440" w:lineRule="exact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9</w:t>
            </w:r>
          </w:p>
        </w:tc>
        <w:tc>
          <w:tcPr>
            <w:tcW w:w="5748" w:type="dxa"/>
          </w:tcPr>
          <w:p w14:paraId="0A62B93A"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可分解致癌芳香胺染料不得检出。</w:t>
            </w:r>
          </w:p>
        </w:tc>
        <w:tc>
          <w:tcPr>
            <w:tcW w:w="1725" w:type="dxa"/>
          </w:tcPr>
          <w:p w14:paraId="0868A2FE">
            <w:pPr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7" w:type="dxa"/>
          </w:tcPr>
          <w:p w14:paraId="3141913D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3E75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vAlign w:val="center"/>
          </w:tcPr>
          <w:p w14:paraId="762114E1">
            <w:pPr>
              <w:spacing w:line="440" w:lineRule="exac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10</w:t>
            </w:r>
          </w:p>
        </w:tc>
        <w:tc>
          <w:tcPr>
            <w:tcW w:w="5748" w:type="dxa"/>
          </w:tcPr>
          <w:p w14:paraId="6E2AFE7C">
            <w:pPr>
              <w:pStyle w:val="12"/>
              <w:widowControl/>
              <w:ind w:firstLine="0" w:firstLineChars="0"/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</w:rPr>
              <w:t>水洗尺寸变化率：经向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≤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5%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</w:rPr>
              <w:t>，纬向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≤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3.5%</w:t>
            </w:r>
          </w:p>
        </w:tc>
        <w:tc>
          <w:tcPr>
            <w:tcW w:w="1725" w:type="dxa"/>
          </w:tcPr>
          <w:p w14:paraId="0271D9E8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7" w:type="dxa"/>
          </w:tcPr>
          <w:p w14:paraId="64C13A53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5420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vAlign w:val="center"/>
          </w:tcPr>
          <w:p w14:paraId="6791FE4A">
            <w:pPr>
              <w:spacing w:line="440" w:lineRule="exac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11</w:t>
            </w:r>
          </w:p>
        </w:tc>
        <w:tc>
          <w:tcPr>
            <w:tcW w:w="5748" w:type="dxa"/>
            <w:shd w:val="clear" w:color="auto" w:fill="auto"/>
            <w:vAlign w:val="top"/>
          </w:tcPr>
          <w:p w14:paraId="4D676DE2">
            <w:pP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</w:rPr>
              <w:t>布料要求全环锭纺，全工艺，经</w:t>
            </w:r>
            <w:r>
              <w:rPr>
                <w:rFonts w:hint="eastAsia" w:ascii="仿宋" w:hAnsi="仿宋" w:eastAsia="仿宋" w:cs="仿宋"/>
                <w:spacing w:val="-3"/>
                <w:sz w:val="24"/>
              </w:rPr>
              <w:t>过预缩，环保染色，耐氯漂，不起球，不起毛。</w:t>
            </w:r>
          </w:p>
        </w:tc>
        <w:tc>
          <w:tcPr>
            <w:tcW w:w="1725" w:type="dxa"/>
          </w:tcPr>
          <w:p w14:paraId="3D0B12E6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7" w:type="dxa"/>
          </w:tcPr>
          <w:p w14:paraId="525688A4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0F67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vAlign w:val="center"/>
          </w:tcPr>
          <w:p w14:paraId="1333E5BF">
            <w:pPr>
              <w:spacing w:line="440" w:lineRule="exac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12</w:t>
            </w:r>
          </w:p>
        </w:tc>
        <w:tc>
          <w:tcPr>
            <w:tcW w:w="5748" w:type="dxa"/>
            <w:shd w:val="clear" w:color="auto" w:fill="auto"/>
            <w:vAlign w:val="top"/>
          </w:tcPr>
          <w:p w14:paraId="4A3C17AE">
            <w:pP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布料需符合GB18401 B类产品的相关要求；并提供样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val="en-US" w:eastAsia="zh-CN"/>
              </w:rPr>
              <w:t>品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材料的最新第三方检测报告；供货后提供当批次的检测报告，并积极配合相关机构随机对产品进行检测，不合格的不予供货。</w:t>
            </w:r>
          </w:p>
        </w:tc>
        <w:tc>
          <w:tcPr>
            <w:tcW w:w="1725" w:type="dxa"/>
          </w:tcPr>
          <w:p w14:paraId="3E8932D5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7" w:type="dxa"/>
          </w:tcPr>
          <w:p w14:paraId="1904501D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DF04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vAlign w:val="center"/>
          </w:tcPr>
          <w:p w14:paraId="5C2AE1C2">
            <w:pPr>
              <w:spacing w:line="440" w:lineRule="exac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13</w:t>
            </w:r>
          </w:p>
        </w:tc>
        <w:tc>
          <w:tcPr>
            <w:tcW w:w="5748" w:type="dxa"/>
            <w:shd w:val="clear" w:color="auto" w:fill="auto"/>
            <w:vAlign w:val="top"/>
          </w:tcPr>
          <w:p w14:paraId="5C3FA24C">
            <w:pP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</w:rPr>
              <w:t>产品做工应精细、细节处理到位，设计美观大方，样式符合国家相关要求</w:t>
            </w:r>
            <w:r>
              <w:rPr>
                <w:rFonts w:hint="eastAsia" w:ascii="仿宋" w:hAnsi="仿宋" w:eastAsia="仿宋" w:cs="仿宋"/>
                <w:spacing w:val="-4"/>
                <w:sz w:val="24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spacing w:val="-4"/>
                <w:sz w:val="24"/>
              </w:rPr>
              <w:t>每批次货物色差不能太大。</w:t>
            </w:r>
          </w:p>
        </w:tc>
        <w:tc>
          <w:tcPr>
            <w:tcW w:w="1725" w:type="dxa"/>
          </w:tcPr>
          <w:p w14:paraId="4E8F5758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7" w:type="dxa"/>
          </w:tcPr>
          <w:p w14:paraId="4A9D52E3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71CB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vAlign w:val="center"/>
          </w:tcPr>
          <w:p w14:paraId="0199FF24">
            <w:pPr>
              <w:spacing w:line="440" w:lineRule="exac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14</w:t>
            </w:r>
          </w:p>
        </w:tc>
        <w:tc>
          <w:tcPr>
            <w:tcW w:w="5748" w:type="dxa"/>
            <w:shd w:val="clear" w:color="auto" w:fill="auto"/>
            <w:vAlign w:val="top"/>
          </w:tcPr>
          <w:p w14:paraId="65121FA5">
            <w:pPr>
              <w:rPr>
                <w:rFonts w:hint="eastAsia" w:ascii="仿宋" w:hAnsi="仿宋" w:eastAsia="仿宋" w:cs="仿宋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</w:rPr>
              <w:t>产品水洗标等齐全，并根据医院需要印制院标等标识。</w:t>
            </w:r>
          </w:p>
        </w:tc>
        <w:tc>
          <w:tcPr>
            <w:tcW w:w="1725" w:type="dxa"/>
          </w:tcPr>
          <w:p w14:paraId="08B85A0D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7" w:type="dxa"/>
          </w:tcPr>
          <w:p w14:paraId="7038FD2C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B4C7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vAlign w:val="center"/>
          </w:tcPr>
          <w:p w14:paraId="2ACF1BAA">
            <w:pPr>
              <w:spacing w:line="440" w:lineRule="exac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15</w:t>
            </w:r>
          </w:p>
        </w:tc>
        <w:tc>
          <w:tcPr>
            <w:tcW w:w="5748" w:type="dxa"/>
            <w:shd w:val="clear" w:color="auto" w:fill="auto"/>
            <w:vAlign w:val="center"/>
          </w:tcPr>
          <w:p w14:paraId="2270C6E7">
            <w:pPr>
              <w:widowControl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非人为损坏，产品质保≧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4"/>
              </w:rPr>
              <w:t>年。</w:t>
            </w:r>
          </w:p>
        </w:tc>
        <w:tc>
          <w:tcPr>
            <w:tcW w:w="1725" w:type="dxa"/>
          </w:tcPr>
          <w:p w14:paraId="53F8CC67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7" w:type="dxa"/>
          </w:tcPr>
          <w:p w14:paraId="3FCE3266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CED5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vAlign w:val="center"/>
          </w:tcPr>
          <w:p w14:paraId="7608A086">
            <w:pPr>
              <w:spacing w:line="440" w:lineRule="exac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16</w:t>
            </w:r>
          </w:p>
        </w:tc>
        <w:tc>
          <w:tcPr>
            <w:tcW w:w="5748" w:type="dxa"/>
            <w:shd w:val="clear" w:color="auto" w:fill="auto"/>
            <w:vAlign w:val="center"/>
          </w:tcPr>
          <w:p w14:paraId="17CDC976">
            <w:pPr>
              <w:widowControl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带样品。</w:t>
            </w:r>
          </w:p>
        </w:tc>
        <w:tc>
          <w:tcPr>
            <w:tcW w:w="1725" w:type="dxa"/>
          </w:tcPr>
          <w:p w14:paraId="1740B881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7" w:type="dxa"/>
          </w:tcPr>
          <w:p w14:paraId="68DAE514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14D0D92D">
      <w:pPr>
        <w:rPr>
          <w:color w:val="C00000"/>
        </w:rPr>
      </w:pPr>
    </w:p>
    <w:p w14:paraId="2FBE0B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eastAsia="宋体"/>
          <w:color w:val="FF0000"/>
          <w:lang w:eastAsia="zh-CN"/>
        </w:rPr>
      </w:pPr>
      <w:r>
        <w:rPr>
          <w:rFonts w:hint="eastAsia"/>
          <w:color w:val="FF0000"/>
          <w:sz w:val="30"/>
          <w:szCs w:val="30"/>
          <w:lang w:val="en-US" w:eastAsia="zh-CN"/>
        </w:rPr>
        <w:t>所有参数，仅供招标采购技术指导，部分条款不限于此，不具有产品指定性。</w:t>
      </w:r>
      <w:r>
        <w:rPr>
          <w:rFonts w:hint="eastAsia"/>
          <w:color w:val="FF0000"/>
          <w:sz w:val="28"/>
          <w:szCs w:val="28"/>
          <w:lang w:eastAsia="zh-CN"/>
        </w:rPr>
        <w:t>本表中产品技术参数需提供证明材料（说明书</w:t>
      </w:r>
      <w:bookmarkStart w:id="0" w:name="_GoBack"/>
      <w:bookmarkEnd w:id="0"/>
      <w:r>
        <w:rPr>
          <w:rFonts w:hint="eastAsia"/>
          <w:color w:val="FF0000"/>
          <w:sz w:val="28"/>
          <w:szCs w:val="28"/>
          <w:lang w:eastAsia="zh-CN"/>
        </w:rPr>
        <w:t>），务必注明证明材料的页码并标注行号，提供不全或未提供的视为负偏。</w:t>
      </w:r>
    </w:p>
    <w:p w14:paraId="13FC436F">
      <w:pPr>
        <w:pStyle w:val="3"/>
        <w:jc w:val="both"/>
        <w:rPr>
          <w:color w:val="C00000"/>
        </w:rPr>
      </w:pPr>
    </w:p>
    <w:p w14:paraId="54B6CD28">
      <w:pPr>
        <w:rPr>
          <w:color w:val="C00000"/>
          <w:sz w:val="30"/>
          <w:szCs w:val="30"/>
        </w:rPr>
      </w:pPr>
      <w:r>
        <w:rPr>
          <w:rFonts w:hint="eastAsia"/>
          <w:color w:val="C00000"/>
          <w:sz w:val="30"/>
          <w:szCs w:val="30"/>
        </w:rPr>
        <w:t xml:space="preserve">      </w:t>
      </w:r>
    </w:p>
    <w:p w14:paraId="03E95F50"/>
    <w:p w14:paraId="5AAD4B88">
      <w:pPr>
        <w:pStyle w:val="3"/>
        <w:rPr>
          <w:color w:val="C00000"/>
          <w:sz w:val="30"/>
          <w:szCs w:val="30"/>
        </w:rPr>
      </w:pPr>
      <w:r>
        <w:rPr>
          <w:rFonts w:hint="eastAsia"/>
          <w:color w:val="C00000"/>
          <w:sz w:val="30"/>
          <w:szCs w:val="30"/>
        </w:rPr>
        <w:t xml:space="preserve">       </w:t>
      </w:r>
    </w:p>
    <w:p w14:paraId="453784BC"/>
    <w:sectPr>
      <w:pgSz w:w="11906" w:h="16838"/>
      <w:pgMar w:top="1270" w:right="1293" w:bottom="127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0OTM4M2E2MDAzODI2OGIwN2YzN2MyOGFhYjA5MmMifQ=="/>
  </w:docVars>
  <w:rsids>
    <w:rsidRoot w:val="056A3C41"/>
    <w:rsid w:val="00306454"/>
    <w:rsid w:val="00753768"/>
    <w:rsid w:val="00761DFD"/>
    <w:rsid w:val="023E19FC"/>
    <w:rsid w:val="0304067F"/>
    <w:rsid w:val="03D34F6D"/>
    <w:rsid w:val="04BD1B14"/>
    <w:rsid w:val="04F15130"/>
    <w:rsid w:val="05555A51"/>
    <w:rsid w:val="056A3C41"/>
    <w:rsid w:val="08F47D89"/>
    <w:rsid w:val="0AB17097"/>
    <w:rsid w:val="0BE24F20"/>
    <w:rsid w:val="0CCF6888"/>
    <w:rsid w:val="10C761F4"/>
    <w:rsid w:val="1142587A"/>
    <w:rsid w:val="11F44434"/>
    <w:rsid w:val="126E598A"/>
    <w:rsid w:val="12A161C7"/>
    <w:rsid w:val="13FE3A1B"/>
    <w:rsid w:val="14483D96"/>
    <w:rsid w:val="146B054E"/>
    <w:rsid w:val="14D44EF9"/>
    <w:rsid w:val="15E6759D"/>
    <w:rsid w:val="17125CEF"/>
    <w:rsid w:val="180C27CE"/>
    <w:rsid w:val="19406791"/>
    <w:rsid w:val="19820FF2"/>
    <w:rsid w:val="1A6C2737"/>
    <w:rsid w:val="1AA646C4"/>
    <w:rsid w:val="1B3311E9"/>
    <w:rsid w:val="1BC3110A"/>
    <w:rsid w:val="1C091D8D"/>
    <w:rsid w:val="1CA96FB6"/>
    <w:rsid w:val="1CBF572F"/>
    <w:rsid w:val="1D0D491E"/>
    <w:rsid w:val="1D3302A2"/>
    <w:rsid w:val="1D626E81"/>
    <w:rsid w:val="1E95493A"/>
    <w:rsid w:val="1F612E04"/>
    <w:rsid w:val="20F67BBE"/>
    <w:rsid w:val="21545707"/>
    <w:rsid w:val="216B0C7F"/>
    <w:rsid w:val="22A57183"/>
    <w:rsid w:val="22E43F44"/>
    <w:rsid w:val="23ED78C8"/>
    <w:rsid w:val="2AFE4DD6"/>
    <w:rsid w:val="2B5C5903"/>
    <w:rsid w:val="2B7D5189"/>
    <w:rsid w:val="2C4A3B21"/>
    <w:rsid w:val="2CAC3EE9"/>
    <w:rsid w:val="2D060209"/>
    <w:rsid w:val="2E63264B"/>
    <w:rsid w:val="2E9E39F0"/>
    <w:rsid w:val="2F666452"/>
    <w:rsid w:val="315A6F36"/>
    <w:rsid w:val="32725AA1"/>
    <w:rsid w:val="32821061"/>
    <w:rsid w:val="33C31EDC"/>
    <w:rsid w:val="35DC660B"/>
    <w:rsid w:val="360008E9"/>
    <w:rsid w:val="361A4A7B"/>
    <w:rsid w:val="3692227A"/>
    <w:rsid w:val="38211B9D"/>
    <w:rsid w:val="3851387F"/>
    <w:rsid w:val="385C660E"/>
    <w:rsid w:val="39E80A65"/>
    <w:rsid w:val="3A4628B8"/>
    <w:rsid w:val="3E77D1A7"/>
    <w:rsid w:val="3EA76396"/>
    <w:rsid w:val="3ED50CA5"/>
    <w:rsid w:val="3F9161F2"/>
    <w:rsid w:val="3FFD7F43"/>
    <w:rsid w:val="40186E05"/>
    <w:rsid w:val="40790653"/>
    <w:rsid w:val="408D1DBF"/>
    <w:rsid w:val="40EC0DC7"/>
    <w:rsid w:val="423B7645"/>
    <w:rsid w:val="45E64C54"/>
    <w:rsid w:val="45F94F34"/>
    <w:rsid w:val="46E12E64"/>
    <w:rsid w:val="47114D9B"/>
    <w:rsid w:val="4783216D"/>
    <w:rsid w:val="47A46665"/>
    <w:rsid w:val="47E73279"/>
    <w:rsid w:val="493F095D"/>
    <w:rsid w:val="4AC42881"/>
    <w:rsid w:val="4D4B54DB"/>
    <w:rsid w:val="50150282"/>
    <w:rsid w:val="52D049DF"/>
    <w:rsid w:val="56CD124E"/>
    <w:rsid w:val="58660CE3"/>
    <w:rsid w:val="5866674F"/>
    <w:rsid w:val="586B51E9"/>
    <w:rsid w:val="58C13862"/>
    <w:rsid w:val="596C39AF"/>
    <w:rsid w:val="598F1FFB"/>
    <w:rsid w:val="5A252C23"/>
    <w:rsid w:val="5A6F6847"/>
    <w:rsid w:val="5C305F30"/>
    <w:rsid w:val="5CE92F3F"/>
    <w:rsid w:val="5E36188A"/>
    <w:rsid w:val="5F047DE2"/>
    <w:rsid w:val="61FD5DEE"/>
    <w:rsid w:val="62393B5C"/>
    <w:rsid w:val="625556E5"/>
    <w:rsid w:val="62CC631F"/>
    <w:rsid w:val="63E75005"/>
    <w:rsid w:val="64432348"/>
    <w:rsid w:val="65030F77"/>
    <w:rsid w:val="65B0017A"/>
    <w:rsid w:val="65C53F73"/>
    <w:rsid w:val="665A4B79"/>
    <w:rsid w:val="667167B1"/>
    <w:rsid w:val="670B67FA"/>
    <w:rsid w:val="6C2F283C"/>
    <w:rsid w:val="6D6616AA"/>
    <w:rsid w:val="6DEEEAFC"/>
    <w:rsid w:val="6E223E59"/>
    <w:rsid w:val="6FBB4E5A"/>
    <w:rsid w:val="6FE23201"/>
    <w:rsid w:val="70BD2481"/>
    <w:rsid w:val="713B58C8"/>
    <w:rsid w:val="715220E5"/>
    <w:rsid w:val="72D77675"/>
    <w:rsid w:val="74E57D1C"/>
    <w:rsid w:val="755B5EDB"/>
    <w:rsid w:val="76105A6C"/>
    <w:rsid w:val="7657E623"/>
    <w:rsid w:val="77F11E13"/>
    <w:rsid w:val="77FACF89"/>
    <w:rsid w:val="78590081"/>
    <w:rsid w:val="786A70E2"/>
    <w:rsid w:val="78A0332D"/>
    <w:rsid w:val="78DD0B8D"/>
    <w:rsid w:val="79D756B5"/>
    <w:rsid w:val="79FFF4CB"/>
    <w:rsid w:val="7AE37EE5"/>
    <w:rsid w:val="7CA316A2"/>
    <w:rsid w:val="7DE87300"/>
    <w:rsid w:val="7FEF3C03"/>
    <w:rsid w:val="D7D47418"/>
    <w:rsid w:val="DBBAE963"/>
    <w:rsid w:val="DD9540BB"/>
    <w:rsid w:val="DDEED2E9"/>
    <w:rsid w:val="DF7F0BF0"/>
    <w:rsid w:val="F9F70EB2"/>
    <w:rsid w:val="FCDF7048"/>
    <w:rsid w:val="FD1F9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240" w:lineRule="atLeast"/>
      <w:jc w:val="center"/>
      <w:outlineLvl w:val="1"/>
    </w:pPr>
    <w:rPr>
      <w:rFonts w:ascii="Arial" w:hAnsi="Arial" w:eastAsia="宋体"/>
      <w:b/>
      <w:sz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qFormat/>
    <w:uiPriority w:val="0"/>
    <w:rPr>
      <w:rFonts w:ascii="Arial" w:hAnsi="Arial"/>
      <w:sz w:val="24"/>
      <w:szCs w:val="20"/>
    </w:rPr>
  </w:style>
  <w:style w:type="paragraph" w:styleId="5">
    <w:name w:val="Body Text"/>
    <w:basedOn w:val="1"/>
    <w:semiHidden/>
    <w:qFormat/>
    <w:uiPriority w:val="0"/>
    <w:rPr>
      <w:rFonts w:ascii="宋体" w:hAnsi="宋体" w:eastAsia="宋体" w:cs="宋体"/>
      <w:sz w:val="25"/>
      <w:szCs w:val="25"/>
      <w:lang w:eastAsia="en-US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Text"/>
    <w:semiHidden/>
    <w:qFormat/>
    <w:uiPriority w:val="0"/>
    <w:pPr>
      <w:widowControl w:val="0"/>
      <w:jc w:val="both"/>
    </w:pPr>
    <w:rPr>
      <w:rFonts w:ascii="宋体" w:hAnsi="宋体" w:eastAsia="宋体" w:cs="宋体"/>
      <w:kern w:val="2"/>
      <w:lang w:val="en-US" w:eastAsia="en-US" w:bidi="ar-SA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422</Words>
  <Characters>475</Characters>
  <Lines>111</Lines>
  <Paragraphs>85</Paragraphs>
  <TotalTime>1</TotalTime>
  <ScaleCrop>false</ScaleCrop>
  <LinksUpToDate>false</LinksUpToDate>
  <CharactersWithSpaces>492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2023-03-23T18:02:00Z</dcterms:created>
  <dc:creator>Administrator</dc:creator>
  <cp:lastModifiedBy>味道</cp:lastModifiedBy>
  <cp:lastPrinted>2025-03-17T00:56:00Z</cp:lastPrinted>
  <dcterms:modified xsi:type="dcterms:W3CDTF">2026-09-02T08:39:31Z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7DC7FADF5C54496DA6153B8AA096CCAC_13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