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D0A11">
      <w:pPr>
        <w:jc w:val="center"/>
        <w:rPr>
          <w:rFonts w:hint="default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普耗</w:t>
      </w:r>
      <w:r>
        <w:rPr>
          <w:rFonts w:hint="eastAsia" w:ascii="宋体" w:hAnsi="宋体" w:cs="宋体"/>
          <w:b/>
          <w:sz w:val="36"/>
          <w:szCs w:val="36"/>
        </w:rPr>
        <w:t>招标参数</w:t>
      </w:r>
      <w:r>
        <w:rPr>
          <w:rFonts w:hint="eastAsia" w:ascii="宋体" w:hAnsi="宋体" w:cs="宋体"/>
          <w:b/>
          <w:sz w:val="36"/>
          <w:szCs w:val="36"/>
          <w:lang w:eastAsia="zh-CN"/>
        </w:rPr>
        <w:t>包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1</w:t>
      </w:r>
    </w:p>
    <w:p w14:paraId="180449B8">
      <w:pPr>
        <w:jc w:val="center"/>
        <w:rPr>
          <w:rFonts w:hint="eastAsia" w:ascii="宋体" w:hAnsi="宋体" w:cs="宋体"/>
          <w:b/>
          <w:sz w:val="36"/>
          <w:szCs w:val="36"/>
        </w:rPr>
      </w:pPr>
    </w:p>
    <w:tbl>
      <w:tblPr>
        <w:tblStyle w:val="4"/>
        <w:tblW w:w="10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6785"/>
        <w:gridCol w:w="1491"/>
      </w:tblGrid>
      <w:tr w14:paraId="2CF7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44" w:type="dxa"/>
            <w:noWrap w:val="0"/>
            <w:vAlign w:val="center"/>
          </w:tcPr>
          <w:p w14:paraId="4D3EABEB">
            <w:pPr>
              <w:autoSpaceDE w:val="0"/>
              <w:spacing w:line="5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6785" w:type="dxa"/>
            <w:noWrap w:val="0"/>
            <w:vAlign w:val="center"/>
          </w:tcPr>
          <w:p w14:paraId="2B6759B0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产品技术参数</w:t>
            </w:r>
          </w:p>
        </w:tc>
        <w:tc>
          <w:tcPr>
            <w:tcW w:w="1491" w:type="dxa"/>
            <w:noWrap w:val="0"/>
            <w:vAlign w:val="center"/>
          </w:tcPr>
          <w:p w14:paraId="14175459">
            <w:pPr>
              <w:autoSpaceDE w:val="0"/>
              <w:spacing w:line="520" w:lineRule="exact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使用科室</w:t>
            </w:r>
          </w:p>
        </w:tc>
      </w:tr>
      <w:tr w14:paraId="3EA2F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543D1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医用护理垫</w:t>
            </w:r>
          </w:p>
        </w:tc>
        <w:tc>
          <w:tcPr>
            <w:tcW w:w="6785" w:type="dxa"/>
            <w:noWrap w:val="0"/>
            <w:vAlign w:val="center"/>
          </w:tcPr>
          <w:p w14:paraId="3C2EA0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用途：羊水渗漏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产后恶露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等的</w:t>
            </w:r>
            <w:r>
              <w:rPr>
                <w:rFonts w:ascii="宋体" w:hAnsi="宋体" w:eastAsia="宋体" w:cs="宋体"/>
                <w:sz w:val="24"/>
                <w:szCs w:val="24"/>
              </w:rPr>
              <w:t>大量体液吸收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,</w:t>
            </w:r>
            <w:r>
              <w:rPr>
                <w:rFonts w:ascii="宋体" w:hAnsi="宋体" w:eastAsia="宋体" w:cs="宋体"/>
                <w:sz w:val="24"/>
                <w:szCs w:val="24"/>
              </w:rPr>
              <w:t>一次性使用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745E87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结构：表层无纺布 + 吸水芯层（绒毛浆 + 高分子 SAP 吸水树脂）+ 底层 PE 防渗漏膜，多层复合，热压成型，无粉尘掉屑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.</w:t>
            </w:r>
          </w:p>
          <w:p w14:paraId="7DEA5C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规格</w:t>
            </w:r>
            <w:r>
              <w:rPr>
                <w:rFonts w:ascii="宋体" w:hAnsi="宋体" w:eastAsia="宋体" w:cs="宋体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50*60cm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禁止使用回收料，原料符合医用卫生要求</w:t>
            </w:r>
            <w:r>
              <w:rPr>
                <w:rStyle w:val="6"/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91" w:type="dxa"/>
            <w:noWrap w:val="0"/>
            <w:vAlign w:val="center"/>
          </w:tcPr>
          <w:p w14:paraId="64D205AB"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产科</w:t>
            </w:r>
          </w:p>
        </w:tc>
      </w:tr>
      <w:tr w14:paraId="4F8B4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47FF0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医用护理垫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03D4D93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用途：</w:t>
            </w:r>
            <w:r>
              <w:rPr>
                <w:rFonts w:ascii="宋体" w:hAnsi="宋体" w:eastAsia="宋体" w:cs="宋体"/>
                <w:sz w:val="24"/>
                <w:szCs w:val="24"/>
              </w:rPr>
              <w:t>于妇科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内镜中心等</w:t>
            </w:r>
            <w:r>
              <w:rPr>
                <w:rFonts w:ascii="宋体" w:hAnsi="宋体" w:eastAsia="宋体" w:cs="宋体"/>
                <w:sz w:val="24"/>
                <w:szCs w:val="24"/>
              </w:rPr>
              <w:t>检查床，承接分泌物、碘伏、冲洗液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ascii="宋体" w:hAnsi="宋体" w:eastAsia="宋体" w:cs="宋体"/>
                <w:sz w:val="24"/>
                <w:szCs w:val="24"/>
              </w:rPr>
              <w:t>，隔离检查床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50F94DB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结构：</w:t>
            </w:r>
            <w:r>
              <w:rPr>
                <w:rFonts w:ascii="宋体" w:hAnsi="宋体" w:eastAsia="宋体" w:cs="宋体"/>
                <w:sz w:val="24"/>
                <w:szCs w:val="24"/>
              </w:rPr>
              <w:t>表层无纺布 + 吸水层 + PE 防渗底层</w:t>
            </w:r>
          </w:p>
          <w:p w14:paraId="470B8D2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规格型号：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80*150cm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60*70cm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6C0413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bottom"/>
              <w:rPr>
                <w:rFonts w:hint="default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ascii="宋体" w:hAnsi="宋体" w:eastAsia="宋体" w:cs="宋体"/>
                <w:sz w:val="24"/>
                <w:szCs w:val="24"/>
              </w:rPr>
              <w:t>灭菌方式：环氧乙烷（EO）灭菌，产品无菌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6B2B3C1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产科、妇科、内镜</w:t>
            </w:r>
          </w:p>
        </w:tc>
      </w:tr>
      <w:tr w14:paraId="5A30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09019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口垫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6AEE4B2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用途：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用于</w:t>
            </w:r>
            <w:r>
              <w:rPr>
                <w:rFonts w:ascii="宋体" w:hAnsi="宋体" w:eastAsia="宋体" w:cs="宋体"/>
                <w:sz w:val="24"/>
                <w:szCs w:val="24"/>
              </w:rPr>
              <w:t>ICU、麻醉科、急诊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等科室</w:t>
            </w:r>
            <w:r>
              <w:rPr>
                <w:rFonts w:ascii="宋体" w:hAnsi="宋体" w:eastAsia="宋体" w:cs="宋体"/>
                <w:sz w:val="24"/>
                <w:szCs w:val="24"/>
              </w:rPr>
              <w:t>经口气管插管术后留置，防止患者咬闭气管导管，保护导管，维持开口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1A22BAA8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结构：</w:t>
            </w:r>
            <w:r>
              <w:rPr>
                <w:rFonts w:ascii="宋体" w:hAnsi="宋体" w:eastAsia="宋体" w:cs="宋体"/>
                <w:sz w:val="24"/>
                <w:szCs w:val="24"/>
              </w:rPr>
              <w:t>医用聚丙烯 PP / 聚乙烯 PE，</w:t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</w:rPr>
              <w:t>不含天然乳胶</w:t>
            </w:r>
            <w:r>
              <w:rPr>
                <w:rFonts w:ascii="宋体" w:hAnsi="宋体" w:eastAsia="宋体" w:cs="宋体"/>
                <w:sz w:val="24"/>
                <w:szCs w:val="24"/>
              </w:rPr>
              <w:t>，无致敏风险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112B94AE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规格型号：</w:t>
            </w:r>
            <w:r>
              <w:rPr>
                <w:rFonts w:ascii="宋体" w:hAnsi="宋体" w:eastAsia="宋体" w:cs="宋体"/>
                <w:sz w:val="24"/>
                <w:szCs w:val="24"/>
              </w:rPr>
              <w:t>总长度 70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mm</w:t>
            </w:r>
            <w:r>
              <w:rPr>
                <w:rFonts w:ascii="宋体" w:hAnsi="宋体" w:eastAsia="宋体" w:cs="宋体"/>
                <w:sz w:val="24"/>
                <w:szCs w:val="24"/>
              </w:rPr>
              <w:t>±5，咬合宽度 26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mm</w:t>
            </w:r>
            <w:r>
              <w:rPr>
                <w:rFonts w:ascii="宋体" w:hAnsi="宋体" w:eastAsia="宋体" w:cs="宋体"/>
                <w:sz w:val="24"/>
                <w:szCs w:val="24"/>
              </w:rPr>
              <w:t>±3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.</w:t>
            </w:r>
          </w:p>
          <w:p w14:paraId="26C370C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ascii="宋体" w:hAnsi="宋体" w:eastAsia="宋体" w:cs="宋体"/>
                <w:sz w:val="24"/>
                <w:szCs w:val="24"/>
              </w:rPr>
              <w:t>独立无菌包装</w:t>
            </w:r>
            <w:r>
              <w:rPr>
                <w:rFonts w:ascii="宋体" w:hAnsi="宋体" w:eastAsia="宋体" w:cs="宋体"/>
                <w:sz w:val="24"/>
                <w:szCs w:val="24"/>
              </w:rPr>
              <w:t>，EO 灭菌；单只独立包装袋，包装完好、密封性强，便于储存取用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2AAB250B">
            <w:pPr>
              <w:jc w:val="both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重症、急诊重症</w:t>
            </w:r>
          </w:p>
        </w:tc>
      </w:tr>
    </w:tbl>
    <w:p w14:paraId="36AA79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等线" w:hAnsi="等线" w:eastAsia="宋体" w:cs="等线"/>
          <w:sz w:val="28"/>
          <w:szCs w:val="28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注：本表中产品技术参数需提供证明材料（说明书或技术白皮书），提供不全或未提供的视为负偏。以上</w:t>
      </w:r>
      <w:r>
        <w:rPr>
          <w:rFonts w:hint="eastAsia"/>
          <w:color w:val="FF0000"/>
          <w:sz w:val="28"/>
          <w:szCs w:val="28"/>
          <w:lang w:val="en-US" w:eastAsia="zh-CN"/>
        </w:rPr>
        <w:t>3种产品打包采购，需全部响应，否则为无效投标。</w:t>
      </w:r>
      <w:r>
        <w:rPr>
          <w:rFonts w:hint="eastAsia"/>
          <w:color w:val="FF0000"/>
          <w:sz w:val="28"/>
          <w:szCs w:val="28"/>
          <w:lang w:eastAsia="zh-CN"/>
        </w:rPr>
        <w:t>走威高配送。</w:t>
      </w:r>
    </w:p>
    <w:p w14:paraId="62E4383E"/>
    <w:p w14:paraId="5D29833C">
      <w:pPr>
        <w:jc w:val="center"/>
        <w:rPr>
          <w:rFonts w:hint="eastAsia" w:ascii="宋体" w:hAnsi="宋体" w:cs="宋体"/>
          <w:b/>
          <w:sz w:val="36"/>
          <w:szCs w:val="36"/>
          <w:lang w:val="en-US" w:eastAsia="zh-CN"/>
        </w:rPr>
      </w:pPr>
    </w:p>
    <w:p w14:paraId="7A2A6EEF">
      <w:pPr>
        <w:jc w:val="center"/>
        <w:rPr>
          <w:rFonts w:hint="eastAsia" w:ascii="宋体" w:hAnsi="宋体" w:cs="宋体"/>
          <w:b/>
          <w:sz w:val="36"/>
          <w:szCs w:val="36"/>
          <w:lang w:val="en-US" w:eastAsia="zh-CN"/>
        </w:rPr>
      </w:pPr>
    </w:p>
    <w:p w14:paraId="0436FBA2">
      <w:pPr>
        <w:jc w:val="center"/>
        <w:rPr>
          <w:rFonts w:hint="eastAsia" w:ascii="宋体" w:hAnsi="宋体" w:cs="宋体"/>
          <w:b/>
          <w:sz w:val="36"/>
          <w:szCs w:val="36"/>
          <w:lang w:val="en-US" w:eastAsia="zh-CN"/>
        </w:rPr>
      </w:pPr>
    </w:p>
    <w:p w14:paraId="2A9C45B2">
      <w:pPr>
        <w:jc w:val="center"/>
        <w:rPr>
          <w:rFonts w:hint="eastAsia" w:ascii="宋体" w:hAnsi="宋体" w:cs="宋体"/>
          <w:b/>
          <w:sz w:val="36"/>
          <w:szCs w:val="36"/>
          <w:lang w:val="en-US" w:eastAsia="zh-CN"/>
        </w:rPr>
      </w:pPr>
    </w:p>
    <w:p w14:paraId="6D863BE1">
      <w:pPr>
        <w:jc w:val="center"/>
        <w:rPr>
          <w:rFonts w:hint="eastAsia" w:ascii="宋体" w:hAnsi="宋体" w:cs="宋体"/>
          <w:b/>
          <w:sz w:val="36"/>
          <w:szCs w:val="36"/>
          <w:lang w:val="en-US" w:eastAsia="zh-CN"/>
        </w:rPr>
      </w:pPr>
    </w:p>
    <w:p w14:paraId="3479DB68">
      <w:pPr>
        <w:jc w:val="center"/>
        <w:rPr>
          <w:rFonts w:hint="eastAsia" w:ascii="宋体" w:hAnsi="宋体" w:cs="宋体"/>
          <w:b/>
          <w:sz w:val="36"/>
          <w:szCs w:val="36"/>
          <w:lang w:val="en-US" w:eastAsia="zh-CN"/>
        </w:rPr>
      </w:pPr>
    </w:p>
    <w:p w14:paraId="029A1296">
      <w:pPr>
        <w:jc w:val="center"/>
        <w:rPr>
          <w:rFonts w:hint="eastAsia" w:ascii="宋体" w:hAnsi="宋体" w:cs="宋体"/>
          <w:b/>
          <w:sz w:val="36"/>
          <w:szCs w:val="36"/>
          <w:lang w:val="en-US" w:eastAsia="zh-CN"/>
        </w:rPr>
      </w:pPr>
    </w:p>
    <w:p w14:paraId="6EDEAB22">
      <w:pPr>
        <w:jc w:val="center"/>
        <w:rPr>
          <w:rFonts w:hint="eastAsia" w:ascii="宋体" w:hAnsi="宋体" w:cs="宋体"/>
          <w:b/>
          <w:sz w:val="36"/>
          <w:szCs w:val="36"/>
          <w:lang w:val="en-US" w:eastAsia="zh-CN"/>
        </w:rPr>
      </w:pPr>
    </w:p>
    <w:p w14:paraId="5D36AF8F">
      <w:pPr>
        <w:jc w:val="center"/>
        <w:rPr>
          <w:rFonts w:hint="default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普耗</w:t>
      </w:r>
      <w:r>
        <w:rPr>
          <w:rFonts w:hint="eastAsia" w:ascii="宋体" w:hAnsi="宋体" w:cs="宋体"/>
          <w:b/>
          <w:sz w:val="36"/>
          <w:szCs w:val="36"/>
        </w:rPr>
        <w:t>招标参数</w:t>
      </w:r>
      <w:r>
        <w:rPr>
          <w:rFonts w:hint="eastAsia" w:ascii="宋体" w:hAnsi="宋体" w:cs="宋体"/>
          <w:b/>
          <w:sz w:val="36"/>
          <w:szCs w:val="36"/>
          <w:lang w:eastAsia="zh-CN"/>
        </w:rPr>
        <w:t>包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2</w:t>
      </w:r>
    </w:p>
    <w:tbl>
      <w:tblPr>
        <w:tblStyle w:val="4"/>
        <w:tblW w:w="10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6785"/>
        <w:gridCol w:w="1491"/>
      </w:tblGrid>
      <w:tr w14:paraId="7DC19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44" w:type="dxa"/>
            <w:noWrap w:val="0"/>
            <w:vAlign w:val="center"/>
          </w:tcPr>
          <w:p w14:paraId="5040C000">
            <w:pPr>
              <w:autoSpaceDE w:val="0"/>
              <w:spacing w:line="5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6785" w:type="dxa"/>
            <w:noWrap w:val="0"/>
            <w:vAlign w:val="center"/>
          </w:tcPr>
          <w:p w14:paraId="20FAC36F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产品技术参数</w:t>
            </w:r>
          </w:p>
        </w:tc>
        <w:tc>
          <w:tcPr>
            <w:tcW w:w="1491" w:type="dxa"/>
            <w:noWrap w:val="0"/>
            <w:vAlign w:val="center"/>
          </w:tcPr>
          <w:p w14:paraId="5962278B">
            <w:pPr>
              <w:autoSpaceDE w:val="0"/>
              <w:spacing w:line="520" w:lineRule="exact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使用科室</w:t>
            </w:r>
          </w:p>
        </w:tc>
      </w:tr>
      <w:tr w14:paraId="7173D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1349109A"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防菌除尘垫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3DAC3375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用途：用于洁净区域入口鞋底除尘、抑/抗菌，降低带入尘埃与微生物用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38FE07C2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结构：</w:t>
            </w:r>
            <w:r>
              <w:rPr>
                <w:rFonts w:ascii="宋体" w:hAnsi="宋体" w:eastAsia="宋体" w:cs="宋体"/>
                <w:sz w:val="24"/>
                <w:szCs w:val="24"/>
              </w:rPr>
              <w:t>多层聚乙烯 PE 薄膜复合结构，底层无胶 PE 底膜，表层每层带水溶性丙烯酸酯压敏胶，每层可撕，常规</w:t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</w:rPr>
              <w:t>29 层粘尘膜 + 底层保护膜</w:t>
            </w:r>
            <w:r>
              <w:rPr>
                <w:rFonts w:ascii="宋体" w:hAnsi="宋体" w:eastAsia="宋体" w:cs="宋体"/>
                <w:sz w:val="24"/>
                <w:szCs w:val="24"/>
              </w:rPr>
              <w:t>，总层数≥30 层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4CF5966F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规格：65cm*115cm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0FC46DA1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手术室、介入</w:t>
            </w:r>
            <w:r>
              <w:rPr>
                <w:rFonts w:hint="eastAsia" w:ascii="宋体" w:hAnsi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中心</w:t>
            </w:r>
          </w:p>
        </w:tc>
      </w:tr>
      <w:tr w14:paraId="59451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3F5791AB"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持续葡萄糖监测系统-葡萄糖传感器(探头）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773C2BEE">
            <w:pPr>
              <w:rPr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适用范围</w:t>
            </w:r>
            <w:r>
              <w:rPr>
                <w:rFonts w:hint="eastAsia"/>
                <w:color w:val="auto"/>
              </w:rPr>
              <w:t>：</w:t>
            </w:r>
            <w:r>
              <w:rPr>
                <w:rFonts w:ascii="Segoe UI Emoji" w:hAnsi="Segoe UI Emoji" w:eastAsia="Segoe UI Emoji" w:cs="Segoe UI Emoji"/>
                <w:color w:val="auto"/>
                <w:sz w:val="24"/>
              </w:rPr>
              <w:t>皮下组织间液葡萄糖实时检测：通过电化学感应原理，持续监测皮下组织间液葡萄糖浓度，间接实时反映人体血糖水平。</w:t>
            </w:r>
          </w:p>
          <w:p w14:paraId="00D3971A">
            <w:pPr>
              <w:widowControl/>
              <w:spacing w:line="360" w:lineRule="atLeast"/>
              <w:jc w:val="left"/>
              <w:rPr>
                <w:color w:val="auto"/>
                <w:sz w:val="24"/>
              </w:rPr>
            </w:pPr>
            <w:r>
              <w:rPr>
                <w:rStyle w:val="6"/>
                <w:rFonts w:hint="eastAsia"/>
                <w:bCs/>
                <w:color w:val="auto"/>
                <w:sz w:val="24"/>
              </w:rPr>
              <w:t>配套要求</w:t>
            </w:r>
            <w:r>
              <w:rPr>
                <w:color w:val="auto"/>
                <w:sz w:val="24"/>
              </w:rPr>
              <w:t>：</w:t>
            </w:r>
            <w:r>
              <w:rPr>
                <w:rFonts w:hint="eastAsia"/>
                <w:color w:val="auto"/>
                <w:sz w:val="24"/>
              </w:rPr>
              <w:t>提供</w:t>
            </w:r>
            <w:r>
              <w:rPr>
                <w:color w:val="auto"/>
                <w:sz w:val="24"/>
              </w:rPr>
              <w:t>配套持续葡萄糖监测系统（CGM）</w:t>
            </w:r>
          </w:p>
          <w:p w14:paraId="49F0B4A3">
            <w:pPr>
              <w:widowControl/>
              <w:spacing w:line="360" w:lineRule="atLeast"/>
              <w:jc w:val="left"/>
              <w:rPr>
                <w:rFonts w:hint="eastAsia"/>
                <w:color w:val="auto"/>
                <w:sz w:val="24"/>
              </w:rPr>
            </w:pPr>
            <w:r>
              <w:rPr>
                <w:rStyle w:val="6"/>
                <w:bCs/>
                <w:color w:val="auto"/>
                <w:sz w:val="24"/>
              </w:rPr>
              <w:t>注册要求</w:t>
            </w:r>
            <w:r>
              <w:rPr>
                <w:color w:val="auto"/>
                <w:sz w:val="24"/>
              </w:rPr>
              <w:t>：具备有效医疗器械注册证（Ⅲ 类）</w:t>
            </w:r>
          </w:p>
          <w:p w14:paraId="1FCF17B0">
            <w:pPr>
              <w:widowControl/>
              <w:spacing w:line="360" w:lineRule="atLeast"/>
              <w:jc w:val="left"/>
              <w:rPr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准确度要求（MARD值）：</w:t>
            </w:r>
            <w:r>
              <w:rPr>
                <w:rFonts w:hint="eastAsia"/>
                <w:color w:val="auto"/>
                <w:sz w:val="24"/>
              </w:rPr>
              <w:t>≤8.5%</w:t>
            </w:r>
          </w:p>
          <w:p w14:paraId="456F6D1A">
            <w:pPr>
              <w:pStyle w:val="2"/>
              <w:widowControl/>
              <w:spacing w:beforeAutospacing="0" w:afterAutospacing="0" w:line="360" w:lineRule="atLeast"/>
              <w:rPr>
                <w:rFonts w:hint="default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结构与设计：</w:t>
            </w:r>
            <w:r>
              <w:rPr>
                <w:rStyle w:val="6"/>
                <w:b w:val="0"/>
                <w:bCs w:val="0"/>
                <w:color w:val="auto"/>
                <w:sz w:val="24"/>
                <w:szCs w:val="24"/>
              </w:rPr>
              <w:t>植入电极</w:t>
            </w:r>
            <w:r>
              <w:rPr>
                <w:b w:val="0"/>
                <w:bCs w:val="0"/>
                <w:color w:val="auto"/>
                <w:sz w:val="24"/>
                <w:szCs w:val="24"/>
              </w:rPr>
              <w:t>：单根软针，柔性材质，降低痛感。</w:t>
            </w:r>
          </w:p>
          <w:p w14:paraId="32E5CAB1">
            <w:pPr>
              <w:widowControl/>
              <w:numPr>
                <w:ilvl w:val="0"/>
                <w:numId w:val="5"/>
              </w:numPr>
              <w:spacing w:line="360" w:lineRule="atLeast"/>
              <w:ind w:left="0"/>
              <w:jc w:val="left"/>
              <w:rPr>
                <w:color w:val="auto"/>
                <w:sz w:val="24"/>
              </w:rPr>
            </w:pPr>
            <w:r>
              <w:rPr>
                <w:rStyle w:val="6"/>
                <w:bCs/>
                <w:color w:val="auto"/>
                <w:sz w:val="24"/>
              </w:rPr>
              <w:t>一体化设计</w:t>
            </w:r>
            <w:r>
              <w:rPr>
                <w:color w:val="auto"/>
                <w:sz w:val="24"/>
              </w:rPr>
              <w:t>：传感器 + 发射器集成，一次性使用，无需维护</w:t>
            </w:r>
          </w:p>
          <w:p w14:paraId="703A80E2">
            <w:pPr>
              <w:widowControl/>
              <w:numPr>
                <w:ilvl w:val="0"/>
                <w:numId w:val="5"/>
              </w:numPr>
              <w:spacing w:line="360" w:lineRule="atLeast"/>
              <w:ind w:left="0"/>
              <w:jc w:val="left"/>
              <w:rPr>
                <w:color w:val="auto"/>
                <w:sz w:val="24"/>
              </w:rPr>
            </w:pPr>
            <w:r>
              <w:rPr>
                <w:rStyle w:val="6"/>
                <w:bCs/>
                <w:color w:val="auto"/>
                <w:sz w:val="24"/>
              </w:rPr>
              <w:t>固定方式</w:t>
            </w:r>
            <w:r>
              <w:rPr>
                <w:color w:val="auto"/>
                <w:sz w:val="24"/>
              </w:rPr>
              <w:t>：医用低敏敷贴，防汗、防过敏、不易脱落</w:t>
            </w:r>
          </w:p>
          <w:p w14:paraId="62C72312">
            <w:pPr>
              <w:widowControl/>
              <w:numPr>
                <w:ilvl w:val="0"/>
                <w:numId w:val="5"/>
              </w:numPr>
              <w:spacing w:line="360" w:lineRule="atLeast"/>
              <w:ind w:left="0"/>
              <w:jc w:val="left"/>
              <w:rPr>
                <w:color w:val="auto"/>
                <w:sz w:val="24"/>
              </w:rPr>
            </w:pPr>
            <w:r>
              <w:rPr>
                <w:rStyle w:val="6"/>
                <w:bCs/>
                <w:color w:val="auto"/>
                <w:sz w:val="24"/>
              </w:rPr>
              <w:t>尺寸重量</w:t>
            </w:r>
            <w:r>
              <w:rPr>
                <w:color w:val="auto"/>
                <w:sz w:val="24"/>
              </w:rPr>
              <w:t>：整体轻薄，重量≤5 g，佩戴舒适</w:t>
            </w:r>
          </w:p>
          <w:p w14:paraId="72EB5AB8">
            <w:pPr>
              <w:widowControl/>
              <w:numPr>
                <w:ilvl w:val="0"/>
                <w:numId w:val="5"/>
              </w:numPr>
              <w:spacing w:line="360" w:lineRule="atLeast"/>
              <w:ind w:left="0"/>
              <w:jc w:val="left"/>
              <w:rPr>
                <w:color w:val="auto"/>
                <w:sz w:val="24"/>
              </w:rPr>
            </w:pPr>
            <w:r>
              <w:rPr>
                <w:rFonts w:hint="eastAsia" w:cs="Segoe UI Emoji" w:asciiTheme="minorEastAsia" w:hAnsiTheme="minorEastAsia" w:eastAsiaTheme="minorEastAsia"/>
                <w:b/>
                <w:bCs/>
                <w:color w:val="auto"/>
                <w:sz w:val="24"/>
              </w:rPr>
              <w:t>出值频率</w:t>
            </w:r>
            <w:r>
              <w:rPr>
                <w:rFonts w:hint="eastAsia" w:cs="Segoe UI Emoji" w:asciiTheme="minorEastAsia" w:hAnsiTheme="minorEastAsia" w:eastAsiaTheme="minorEastAsia"/>
                <w:color w:val="auto"/>
                <w:sz w:val="24"/>
              </w:rPr>
              <w:t>：每3分钟出一个值，</w:t>
            </w:r>
            <w:r>
              <w:rPr>
                <w:rFonts w:cs="Segoe UI Emoji" w:asciiTheme="minorEastAsia" w:hAnsiTheme="minorEastAsia" w:eastAsiaTheme="minorEastAsia"/>
                <w:color w:val="auto"/>
                <w:sz w:val="24"/>
              </w:rPr>
              <w:t>24小时记录480个血糖值</w:t>
            </w:r>
          </w:p>
          <w:p w14:paraId="7A71559A">
            <w:pPr>
              <w:rPr>
                <w:rFonts w:cs="Segoe UI Emoji" w:asciiTheme="minorEastAsia" w:hAnsiTheme="minorEastAsia" w:eastAsiaTheme="minorEastAsia"/>
                <w:color w:val="auto"/>
                <w:sz w:val="24"/>
              </w:rPr>
            </w:pPr>
            <w:r>
              <w:rPr>
                <w:rStyle w:val="6"/>
                <w:rFonts w:ascii="宋体" w:hAnsi="宋体" w:cs="宋体"/>
                <w:bCs/>
                <w:color w:val="auto"/>
                <w:sz w:val="24"/>
              </w:rPr>
              <w:t>数据显示</w:t>
            </w:r>
            <w:r>
              <w:rPr>
                <w:rFonts w:ascii="宋体" w:hAnsi="宋体" w:cs="宋体"/>
                <w:color w:val="auto"/>
                <w:sz w:val="24"/>
              </w:rPr>
              <w:t>：配套 APP / 接收器，实时血糖值、趋势曲线、高低血糖标记</w:t>
            </w:r>
            <w:r>
              <w:rPr>
                <w:rFonts w:hint="eastAsia" w:ascii="宋体" w:hAnsi="宋体" w:cs="宋体"/>
                <w:color w:val="auto"/>
                <w:sz w:val="24"/>
              </w:rPr>
              <w:t>，</w:t>
            </w:r>
            <w:r>
              <w:rPr>
                <w:rFonts w:hint="eastAsia" w:cs="Segoe UI Emoji" w:asciiTheme="minorEastAsia" w:hAnsiTheme="minorEastAsia" w:eastAsiaTheme="minorEastAsia"/>
                <w:color w:val="auto"/>
                <w:sz w:val="24"/>
              </w:rPr>
              <w:t>支持动态血糖统计分析，可打印动态血糖患者的持续葡萄糖评估报告、AGP报告、指南版报告</w:t>
            </w:r>
          </w:p>
          <w:p w14:paraId="1FF1EEC2">
            <w:pPr>
              <w:rPr>
                <w:rFonts w:cs="Segoe UI Emoji" w:asciiTheme="minorEastAsia" w:hAnsiTheme="minorEastAsia" w:eastAsiaTheme="minorEastAsia"/>
                <w:color w:val="auto"/>
                <w:sz w:val="24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</w:rPr>
              <w:t>功能要求：</w:t>
            </w:r>
            <w:r>
              <w:rPr>
                <w:rFonts w:hint="eastAsia" w:cs="Segoe UI Emoji" w:asciiTheme="minorEastAsia" w:hAnsiTheme="minorEastAsia" w:eastAsiaTheme="minorEastAsia"/>
                <w:color w:val="auto"/>
                <w:sz w:val="24"/>
              </w:rPr>
              <w:t>支持血糖低于或高于预设提醒阈值，可发出提醒</w:t>
            </w:r>
          </w:p>
          <w:p w14:paraId="73244089">
            <w:pPr>
              <w:rPr>
                <w:rFonts w:cs="Segoe UI Emoji" w:asciiTheme="minorEastAsia" w:hAnsiTheme="minorEastAsia" w:eastAsiaTheme="minorEastAsia"/>
                <w:color w:val="auto"/>
                <w:sz w:val="24"/>
              </w:rPr>
            </w:pPr>
            <w:r>
              <w:rPr>
                <w:rFonts w:ascii="Segoe UI Emoji" w:hAnsi="Segoe UI Emoji" w:eastAsia="Segoe UI Emoji" w:cs="Segoe UI Emoji"/>
                <w:color w:val="auto"/>
                <w:sz w:val="24"/>
              </w:rPr>
              <w:t>无菌：环氧乙烷灭菌，一次性使用</w:t>
            </w:r>
            <w:r>
              <w:rPr>
                <w:rFonts w:hint="eastAsia" w:ascii="Segoe UI Emoji" w:hAnsi="Segoe UI Emoji" w:cs="Segoe UI Emoji"/>
                <w:color w:val="auto"/>
                <w:sz w:val="24"/>
              </w:rPr>
              <w:t>；</w:t>
            </w:r>
          </w:p>
          <w:p w14:paraId="08CCF41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Segoe UI Emoji" w:asciiTheme="minorEastAsia" w:hAnsiTheme="minorEastAsia" w:eastAsiaTheme="minorEastAsia"/>
                <w:b/>
                <w:bCs/>
                <w:color w:val="auto"/>
                <w:sz w:val="24"/>
              </w:rPr>
              <w:t>进液防护等级</w:t>
            </w:r>
            <w:r>
              <w:rPr>
                <w:rFonts w:hint="eastAsia" w:cs="Segoe UI Emoji" w:asciiTheme="minorEastAsia" w:hAnsiTheme="minorEastAsia" w:eastAsiaTheme="minorEastAsia"/>
                <w:color w:val="auto"/>
                <w:sz w:val="24"/>
              </w:rPr>
              <w:t>：IP28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60307C1E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内分泌科</w:t>
            </w:r>
          </w:p>
        </w:tc>
      </w:tr>
    </w:tbl>
    <w:p w14:paraId="2CA477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等线" w:hAnsi="等线" w:eastAsia="宋体" w:cs="等线"/>
          <w:sz w:val="28"/>
          <w:szCs w:val="28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注：本表中产品技术参数需提供证明材料（说明书或技术白皮书），提供不全或未提供的视为负偏。以上</w:t>
      </w:r>
      <w:r>
        <w:rPr>
          <w:rFonts w:hint="eastAsia"/>
          <w:color w:val="FF0000"/>
          <w:sz w:val="28"/>
          <w:szCs w:val="28"/>
          <w:lang w:val="en-US" w:eastAsia="zh-CN"/>
        </w:rPr>
        <w:t>2种产品非打包采购。</w:t>
      </w:r>
      <w:r>
        <w:rPr>
          <w:rFonts w:hint="eastAsia"/>
          <w:color w:val="FF0000"/>
          <w:sz w:val="28"/>
          <w:szCs w:val="28"/>
          <w:lang w:eastAsia="zh-CN"/>
        </w:rPr>
        <w:t>走威高配送。</w:t>
      </w:r>
    </w:p>
    <w:p w14:paraId="3440E323"/>
    <w:p w14:paraId="4D2178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UI Emoji">
    <w:altName w:val="Segoe UI"/>
    <w:panose1 w:val="020B0502040204020203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A58FFD"/>
    <w:multiLevelType w:val="multilevel"/>
    <w:tmpl w:val="89A58FF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9E01B1BD"/>
    <w:multiLevelType w:val="singleLevel"/>
    <w:tmpl w:val="9E01B1B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39ED03C"/>
    <w:multiLevelType w:val="singleLevel"/>
    <w:tmpl w:val="039ED03C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22A01C3"/>
    <w:multiLevelType w:val="singleLevel"/>
    <w:tmpl w:val="422A01C3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6AFFF728"/>
    <w:multiLevelType w:val="singleLevel"/>
    <w:tmpl w:val="6AFFF7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EC1C63"/>
    <w:rsid w:val="01394986"/>
    <w:rsid w:val="02BF7F3D"/>
    <w:rsid w:val="09EB6071"/>
    <w:rsid w:val="13EC1C63"/>
    <w:rsid w:val="17124B68"/>
    <w:rsid w:val="1DD80C79"/>
    <w:rsid w:val="27000E1B"/>
    <w:rsid w:val="347F4674"/>
    <w:rsid w:val="3A492794"/>
    <w:rsid w:val="483A31A5"/>
    <w:rsid w:val="51885D8E"/>
    <w:rsid w:val="53F0158F"/>
    <w:rsid w:val="57F74AC2"/>
    <w:rsid w:val="5B6C7050"/>
    <w:rsid w:val="5CCC17F3"/>
    <w:rsid w:val="64356A60"/>
    <w:rsid w:val="6BCF2D05"/>
    <w:rsid w:val="7E04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1020</Words>
  <Characters>1088</Characters>
  <Lines>0</Lines>
  <Paragraphs>0</Paragraphs>
  <TotalTime>2</TotalTime>
  <ScaleCrop>false</ScaleCrop>
  <LinksUpToDate>false</LinksUpToDate>
  <CharactersWithSpaces>1124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2026-07-30T03:10:00Z</dcterms:created>
  <dc:creator>酥糊</dc:creator>
  <cp:lastModifiedBy>味道</cp:lastModifiedBy>
  <dcterms:modified xsi:type="dcterms:W3CDTF">2026-10-20T06:52:06Z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A95FE7D5DB9B49D59DB6CC7AD818945D_13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